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AA2E8A" w:rsidP="00093C4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D429A4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D429A4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429A4" w:rsidRPr="00D429A4" w:rsidRDefault="00D429A4" w:rsidP="00D429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9A4">
        <w:rPr>
          <w:rFonts w:ascii="Times New Roman" w:hAnsi="Times New Roman" w:cs="Times New Roman"/>
          <w:b/>
          <w:sz w:val="28"/>
          <w:szCs w:val="28"/>
        </w:rPr>
        <w:t>Об утверждении топливно-энергетического баланса</w:t>
      </w:r>
    </w:p>
    <w:p w:rsidR="00D429A4" w:rsidRPr="00D429A4" w:rsidRDefault="00D429A4" w:rsidP="00D429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 за 2019 год</w:t>
      </w:r>
    </w:p>
    <w:p w:rsidR="00D429A4" w:rsidRPr="00D429A4" w:rsidRDefault="00D429A4" w:rsidP="00D429A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D429A4" w:rsidRDefault="00D429A4" w:rsidP="00D429A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pacing w:val="48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190-ФЗ «О теплоснабжении», приказом Министерства энергетики Российской Федерации от 14 декабря 2011 года № 600 «Об утверждении порядка составления топливно-энергетических балансов субъектов Российской Федерации, муниципальных образований», на основании Устава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D429A4">
        <w:rPr>
          <w:rFonts w:ascii="Times New Roman" w:hAnsi="Times New Roman" w:cs="Times New Roman"/>
          <w:spacing w:val="48"/>
          <w:sz w:val="28"/>
          <w:szCs w:val="28"/>
        </w:rPr>
        <w:t>постановляю: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1. Утвердить топливно-энергетический баланс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за 2019 год (прилагается). 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2. 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(Дудка)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proofErr w:type="gram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81D0C" w:rsidRPr="00AA6016" w:rsidRDefault="00281D0C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</w:t>
      </w:r>
      <w:r w:rsidR="00DE2F46">
        <w:rPr>
          <w:sz w:val="28"/>
          <w:szCs w:val="28"/>
        </w:rPr>
        <w:t xml:space="preserve"> </w:t>
      </w:r>
      <w:r w:rsidRPr="007C30A5">
        <w:rPr>
          <w:sz w:val="28"/>
          <w:szCs w:val="28"/>
        </w:rPr>
        <w:t xml:space="preserve">        </w:t>
      </w:r>
      <w:r w:rsidR="00281D0C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Default="00D429A4" w:rsidP="00C13CA7">
      <w:pPr>
        <w:rPr>
          <w:sz w:val="28"/>
          <w:szCs w:val="28"/>
        </w:rPr>
      </w:pP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lastRenderedPageBreak/>
        <w:t xml:space="preserve">ПРИЛОЖЕНИЕ 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УТВЕРЖДЕН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постановлением администрации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 xml:space="preserve">Красногвардейского сельского 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поселения Каневского района</w:t>
      </w:r>
    </w:p>
    <w:p w:rsidR="00D429A4" w:rsidRPr="00D429A4" w:rsidRDefault="00D429A4" w:rsidP="00D429A4">
      <w:pPr>
        <w:ind w:left="4956"/>
        <w:rPr>
          <w:sz w:val="28"/>
          <w:szCs w:val="28"/>
        </w:rPr>
      </w:pPr>
      <w:r w:rsidRPr="00D429A4">
        <w:rPr>
          <w:sz w:val="28"/>
          <w:szCs w:val="28"/>
        </w:rPr>
        <w:t>от ________________ №  ______</w:t>
      </w:r>
    </w:p>
    <w:p w:rsidR="00D429A4" w:rsidRPr="00604133" w:rsidRDefault="00D429A4" w:rsidP="00D429A4">
      <w:pPr>
        <w:widowControl w:val="0"/>
        <w:autoSpaceDE w:val="0"/>
        <w:autoSpaceDN w:val="0"/>
        <w:adjustRightInd w:val="0"/>
        <w:ind w:firstLine="720"/>
        <w:jc w:val="right"/>
      </w:pPr>
    </w:p>
    <w:p w:rsidR="00D429A4" w:rsidRPr="006736F4" w:rsidRDefault="00D429A4" w:rsidP="00D429A4">
      <w:pPr>
        <w:jc w:val="right"/>
      </w:pPr>
    </w:p>
    <w:p w:rsidR="00D429A4" w:rsidRPr="00D429A4" w:rsidRDefault="00D429A4" w:rsidP="00D429A4">
      <w:pPr>
        <w:pStyle w:val="3"/>
        <w:widowControl w:val="0"/>
        <w:numPr>
          <w:ilvl w:val="2"/>
          <w:numId w:val="4"/>
        </w:numPr>
        <w:tabs>
          <w:tab w:val="clear" w:pos="720"/>
          <w:tab w:val="num" w:pos="0"/>
          <w:tab w:val="left" w:pos="426"/>
          <w:tab w:val="left" w:pos="567"/>
        </w:tabs>
        <w:suppressAutoHyphens/>
        <w:spacing w:before="6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D429A4">
        <w:rPr>
          <w:rFonts w:ascii="Times New Roman" w:eastAsia="Calibri" w:hAnsi="Times New Roman"/>
          <w:sz w:val="28"/>
          <w:szCs w:val="28"/>
          <w:lang w:val="ru-RU"/>
        </w:rPr>
        <w:t xml:space="preserve">Топливно-энергетический баланс </w:t>
      </w:r>
      <w:proofErr w:type="gramStart"/>
      <w:r>
        <w:rPr>
          <w:rFonts w:ascii="Times New Roman" w:eastAsia="Calibri" w:hAnsi="Times New Roman"/>
          <w:sz w:val="28"/>
          <w:szCs w:val="28"/>
          <w:lang w:val="ru-RU"/>
        </w:rPr>
        <w:t>Красногвардейского</w:t>
      </w:r>
      <w:proofErr w:type="gramEnd"/>
      <w:r w:rsidRPr="00D429A4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</w:t>
      </w:r>
    </w:p>
    <w:p w:rsidR="00D429A4" w:rsidRPr="00D429A4" w:rsidRDefault="00D429A4" w:rsidP="00D429A4">
      <w:pPr>
        <w:jc w:val="center"/>
        <w:rPr>
          <w:b/>
          <w:sz w:val="28"/>
          <w:szCs w:val="28"/>
        </w:rPr>
      </w:pPr>
      <w:r w:rsidRPr="00D429A4">
        <w:rPr>
          <w:b/>
          <w:sz w:val="28"/>
          <w:szCs w:val="28"/>
        </w:rPr>
        <w:t>Каневского района за 2019 год</w:t>
      </w:r>
    </w:p>
    <w:p w:rsidR="00D429A4" w:rsidRPr="00BC4961" w:rsidRDefault="00D429A4" w:rsidP="00D429A4">
      <w:pPr>
        <w:ind w:firstLine="567"/>
        <w:jc w:val="both"/>
      </w:pPr>
    </w:p>
    <w:p w:rsidR="00D429A4" w:rsidRPr="00BC4961" w:rsidRDefault="00D429A4" w:rsidP="00D429A4">
      <w:pPr>
        <w:ind w:firstLine="567"/>
        <w:jc w:val="both"/>
      </w:pP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Административный центр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– </w:t>
      </w:r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расногвардеец</w:t>
      </w:r>
      <w:r w:rsidRPr="00D429A4">
        <w:rPr>
          <w:rFonts w:ascii="Times New Roman" w:hAnsi="Times New Roman" w:cs="Times New Roman"/>
          <w:sz w:val="28"/>
          <w:szCs w:val="28"/>
        </w:rPr>
        <w:t xml:space="preserve">. В состав поселения входит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9A4">
        <w:rPr>
          <w:rFonts w:ascii="Times New Roman" w:hAnsi="Times New Roman" w:cs="Times New Roman"/>
          <w:sz w:val="28"/>
          <w:szCs w:val="28"/>
        </w:rPr>
        <w:t xml:space="preserve"> населенных пункта: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расногвардеец</w:t>
      </w:r>
      <w:r w:rsidRPr="00D429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ст.Александровская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Численность населения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3C93">
        <w:rPr>
          <w:rFonts w:ascii="Times New Roman" w:hAnsi="Times New Roman" w:cs="Times New Roman"/>
          <w:sz w:val="28"/>
          <w:szCs w:val="28"/>
        </w:rPr>
        <w:t>494</w:t>
      </w:r>
      <w:r w:rsidRPr="00D42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9A4">
        <w:rPr>
          <w:rFonts w:ascii="Times New Roman" w:hAnsi="Times New Roman" w:cs="Times New Roman"/>
          <w:sz w:val="28"/>
          <w:szCs w:val="28"/>
        </w:rPr>
        <w:t>человек.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Количество личных подсобных хозяйств - </w:t>
      </w:r>
      <w:r w:rsidR="001D3C93">
        <w:rPr>
          <w:rFonts w:ascii="Times New Roman" w:hAnsi="Times New Roman" w:cs="Times New Roman"/>
          <w:sz w:val="28"/>
          <w:szCs w:val="28"/>
        </w:rPr>
        <w:t>841</w:t>
      </w:r>
      <w:r w:rsidRPr="00D429A4">
        <w:rPr>
          <w:rFonts w:ascii="Times New Roman" w:hAnsi="Times New Roman" w:cs="Times New Roman"/>
          <w:sz w:val="28"/>
          <w:szCs w:val="28"/>
        </w:rPr>
        <w:t>.</w:t>
      </w:r>
    </w:p>
    <w:p w:rsidR="00D429A4" w:rsidRPr="00D429A4" w:rsidRDefault="001F5E8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жилых зданий</w:t>
      </w:r>
      <w:r w:rsidR="00D429A4" w:rsidRPr="00D429A4">
        <w:rPr>
          <w:rFonts w:ascii="Times New Roman" w:hAnsi="Times New Roman" w:cs="Times New Roman"/>
          <w:sz w:val="28"/>
          <w:szCs w:val="28"/>
        </w:rPr>
        <w:t xml:space="preserve"> - </w:t>
      </w:r>
      <w:r w:rsidRPr="001F5E84">
        <w:rPr>
          <w:rFonts w:ascii="Times New Roman" w:hAnsi="Times New Roman" w:cs="Times New Roman"/>
          <w:sz w:val="28"/>
          <w:szCs w:val="28"/>
        </w:rPr>
        <w:t>88,5</w:t>
      </w:r>
      <w:r w:rsidR="00D429A4" w:rsidRPr="001F5E84">
        <w:rPr>
          <w:rFonts w:ascii="Times New Roman" w:hAnsi="Times New Roman" w:cs="Times New Roman"/>
          <w:sz w:val="28"/>
          <w:szCs w:val="28"/>
        </w:rPr>
        <w:t xml:space="preserve"> %</w:t>
      </w:r>
      <w:r w:rsidR="00D429A4" w:rsidRPr="00D429A4">
        <w:rPr>
          <w:rFonts w:ascii="Times New Roman" w:hAnsi="Times New Roman" w:cs="Times New Roman"/>
          <w:sz w:val="28"/>
          <w:szCs w:val="28"/>
        </w:rPr>
        <w:t xml:space="preserve"> в поселении </w:t>
      </w:r>
      <w:proofErr w:type="gramStart"/>
      <w:r w:rsidR="00D429A4" w:rsidRPr="00D429A4">
        <w:rPr>
          <w:rFonts w:ascii="Times New Roman" w:hAnsi="Times New Roman" w:cs="Times New Roman"/>
          <w:sz w:val="28"/>
          <w:szCs w:val="28"/>
        </w:rPr>
        <w:t>построены</w:t>
      </w:r>
      <w:proofErr w:type="gramEnd"/>
      <w:r w:rsidR="00D429A4" w:rsidRPr="00D429A4">
        <w:rPr>
          <w:rFonts w:ascii="Times New Roman" w:hAnsi="Times New Roman" w:cs="Times New Roman"/>
          <w:sz w:val="28"/>
          <w:szCs w:val="28"/>
        </w:rPr>
        <w:t xml:space="preserve"> из блока и кирпича.</w:t>
      </w:r>
    </w:p>
    <w:p w:rsidR="00D429A4" w:rsidRPr="00C50D3B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Pr="00D429A4">
        <w:rPr>
          <w:rFonts w:ascii="Times New Roman" w:hAnsi="Times New Roman" w:cs="Times New Roman"/>
          <w:sz w:val="28"/>
          <w:szCs w:val="28"/>
        </w:rPr>
        <w:t>Красногвардейском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Каневского района являются бюджетные и не бюджетные потребители (культура, унитарное предприятие). На балансе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состоит здание администрации, жилых </w:t>
      </w:r>
      <w:r w:rsidRPr="00C50D3B">
        <w:rPr>
          <w:rFonts w:ascii="Times New Roman" w:hAnsi="Times New Roman" w:cs="Times New Roman"/>
          <w:sz w:val="28"/>
          <w:szCs w:val="28"/>
        </w:rPr>
        <w:t>помещений нет.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действуют почтовое отделение связи.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Образование:</w:t>
      </w:r>
      <w:r w:rsidR="001D3C93">
        <w:rPr>
          <w:rFonts w:ascii="Times New Roman" w:hAnsi="Times New Roman" w:cs="Times New Roman"/>
          <w:color w:val="000000"/>
          <w:sz w:val="28"/>
          <w:szCs w:val="28"/>
        </w:rPr>
        <w:t xml:space="preserve"> МБОУ О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ОШ № 16, МБОУ СОШ № 22, МБДОУ № 17, МБДОУ № 33.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Здравоохранение: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Амбулатория ВОП, Фельдшерско-акушерский пункт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Культура: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представлена МБУК «СДК п</w:t>
      </w:r>
      <w:proofErr w:type="gram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D429A4">
        <w:rPr>
          <w:rFonts w:ascii="Times New Roman" w:hAnsi="Times New Roman" w:cs="Times New Roman"/>
          <w:color w:val="000000"/>
          <w:sz w:val="28"/>
          <w:szCs w:val="28"/>
        </w:rPr>
        <w:t>расногвардеец», МБУК «СК ст.Александровская», МБУК «Красногвардейская БС».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>Топливно-энергетический баланс в Красногвардейском сельском поселении Каневского района разрабатывается на один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В топливно-энергетическом балансе </w:t>
      </w:r>
      <w:proofErr w:type="gramStart"/>
      <w:r w:rsidRPr="00D429A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присутствует электрическая энергия, теплоснабжение и газоснабжение.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Электрической энергией </w:t>
      </w:r>
      <w:r w:rsidRPr="00D429A4">
        <w:rPr>
          <w:rFonts w:ascii="Times New Roman" w:hAnsi="Times New Roman" w:cs="Times New Roman"/>
          <w:sz w:val="28"/>
          <w:szCs w:val="28"/>
        </w:rPr>
        <w:t>Красногвардейское сельское поселение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Каневского района обеспечивает ПАО ТНС «</w:t>
      </w:r>
      <w:proofErr w:type="spellStart"/>
      <w:r w:rsidRPr="00E7058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E70585">
        <w:rPr>
          <w:rFonts w:ascii="Times New Roman" w:hAnsi="Times New Roman" w:cs="Times New Roman"/>
          <w:sz w:val="28"/>
          <w:szCs w:val="28"/>
        </w:rPr>
        <w:t xml:space="preserve"> Кубань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t>Теплоснабжение осуществляет МУП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 xml:space="preserve"> Каневского района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«Каневские Тепловые сети», получатели тепловой энергии Администрация </w:t>
      </w:r>
      <w:r w:rsidRPr="00D429A4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МБУК 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СДК 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063F19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063F19">
        <w:rPr>
          <w:rFonts w:ascii="Times New Roman" w:hAnsi="Times New Roman" w:cs="Times New Roman"/>
          <w:color w:val="000000"/>
          <w:sz w:val="28"/>
          <w:szCs w:val="28"/>
        </w:rPr>
        <w:t>расногвардеец"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3F19">
        <w:rPr>
          <w:rFonts w:ascii="Times New Roman" w:hAnsi="Times New Roman" w:cs="Times New Roman"/>
          <w:color w:val="000000"/>
          <w:sz w:val="28"/>
          <w:szCs w:val="28"/>
        </w:rPr>
        <w:t xml:space="preserve"> МБУК «Красногвардейская БС»</w:t>
      </w:r>
      <w:r w:rsidRPr="00D429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9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Поставка природного газа осуществляется ООО «Газпром </w:t>
      </w:r>
      <w:proofErr w:type="spellStart"/>
      <w:r w:rsidRPr="00D429A4">
        <w:rPr>
          <w:rFonts w:ascii="Times New Roman" w:hAnsi="Times New Roman" w:cs="Times New Roman"/>
          <w:color w:val="000000"/>
          <w:sz w:val="28"/>
          <w:szCs w:val="28"/>
        </w:rPr>
        <w:t>межрегионгаз</w:t>
      </w:r>
      <w:proofErr w:type="spellEnd"/>
      <w:r w:rsidRPr="00D429A4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Краснодар».</w:t>
      </w:r>
    </w:p>
    <w:p w:rsidR="00D429A4" w:rsidRPr="00D429A4" w:rsidRDefault="00D429A4" w:rsidP="00D429A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A4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 Красногвардейском сельского поселения Каневского района приведен в таблице № 1 «Топливно-энергетический баланс </w:t>
      </w:r>
      <w:proofErr w:type="gramStart"/>
      <w:r w:rsidR="00063F19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D429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за 2019 год».</w:t>
      </w: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063F19" w:rsidRDefault="00D429A4" w:rsidP="00063F1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429A4" w:rsidRPr="00735DBB" w:rsidRDefault="00D429A4" w:rsidP="00D429A4">
      <w:pPr>
        <w:jc w:val="both"/>
        <w:rPr>
          <w:sz w:val="28"/>
        </w:rPr>
      </w:pPr>
      <w:r>
        <w:t>Глава</w:t>
      </w:r>
      <w:r w:rsidRPr="00735DBB">
        <w:rPr>
          <w:sz w:val="28"/>
        </w:rPr>
        <w:t xml:space="preserve"> </w:t>
      </w:r>
      <w:proofErr w:type="gramStart"/>
      <w:r w:rsidRPr="00735DBB">
        <w:rPr>
          <w:sz w:val="28"/>
        </w:rPr>
        <w:t>Красногвардейского</w:t>
      </w:r>
      <w:proofErr w:type="gramEnd"/>
      <w:r w:rsidRPr="00735DBB">
        <w:rPr>
          <w:sz w:val="28"/>
        </w:rPr>
        <w:t xml:space="preserve"> сельского</w:t>
      </w:r>
    </w:p>
    <w:p w:rsidR="00D429A4" w:rsidRPr="00735DBB" w:rsidRDefault="00D429A4" w:rsidP="00D429A4">
      <w:pPr>
        <w:jc w:val="both"/>
        <w:rPr>
          <w:sz w:val="28"/>
          <w:szCs w:val="28"/>
        </w:rPr>
        <w:sectPr w:rsidR="00D429A4" w:rsidRPr="00735DBB">
          <w:pgSz w:w="11906" w:h="16838"/>
          <w:pgMar w:top="1134" w:right="567" w:bottom="1134" w:left="1134" w:header="720" w:footer="720" w:gutter="0"/>
          <w:cols w:space="720"/>
        </w:sectPr>
      </w:pPr>
      <w:r w:rsidRPr="00735DBB">
        <w:rPr>
          <w:sz w:val="28"/>
        </w:rPr>
        <w:t xml:space="preserve">поселения Каневского </w:t>
      </w:r>
      <w:r w:rsidRPr="00063F19">
        <w:rPr>
          <w:sz w:val="28"/>
          <w:szCs w:val="28"/>
        </w:rPr>
        <w:t xml:space="preserve">района                                                           </w:t>
      </w:r>
      <w:proofErr w:type="spellStart"/>
      <w:r w:rsidRPr="00063F19">
        <w:rPr>
          <w:sz w:val="28"/>
          <w:szCs w:val="28"/>
        </w:rPr>
        <w:t>Ю.В.Гринь</w:t>
      </w:r>
      <w:proofErr w:type="spellEnd"/>
    </w:p>
    <w:tbl>
      <w:tblPr>
        <w:tblW w:w="15791" w:type="dxa"/>
        <w:tblInd w:w="108" w:type="dxa"/>
        <w:tblLayout w:type="fixed"/>
        <w:tblLook w:val="04A0"/>
      </w:tblPr>
      <w:tblGrid>
        <w:gridCol w:w="14317"/>
        <w:gridCol w:w="1474"/>
      </w:tblGrid>
      <w:tr w:rsidR="00D429A4" w:rsidRPr="00BC4961" w:rsidTr="00925F1F">
        <w:trPr>
          <w:trHeight w:val="255"/>
        </w:trPr>
        <w:tc>
          <w:tcPr>
            <w:tcW w:w="14317" w:type="dxa"/>
            <w:vAlign w:val="bottom"/>
            <w:hideMark/>
          </w:tcPr>
          <w:p w:rsidR="00D429A4" w:rsidRDefault="00D429A4" w:rsidP="00925F1F">
            <w:pPr>
              <w:ind w:left="9815"/>
              <w:jc w:val="center"/>
            </w:pPr>
          </w:p>
          <w:p w:rsidR="00D429A4" w:rsidRPr="00604133" w:rsidRDefault="00D429A4" w:rsidP="00925F1F">
            <w:pPr>
              <w:ind w:left="8823"/>
            </w:pPr>
            <w:r>
              <w:t xml:space="preserve">ПРИЛОЖЕНИЕ </w:t>
            </w:r>
          </w:p>
          <w:p w:rsidR="00D429A4" w:rsidRPr="00735DBB" w:rsidRDefault="00D429A4" w:rsidP="00D429A4">
            <w:pPr>
              <w:pStyle w:val="3"/>
              <w:widowControl w:val="0"/>
              <w:numPr>
                <w:ilvl w:val="2"/>
                <w:numId w:val="4"/>
              </w:numPr>
              <w:tabs>
                <w:tab w:val="clear" w:pos="720"/>
                <w:tab w:val="num" w:pos="0"/>
                <w:tab w:val="left" w:pos="426"/>
              </w:tabs>
              <w:suppressAutoHyphens/>
              <w:spacing w:before="60"/>
              <w:ind w:left="8823" w:firstLine="0"/>
              <w:rPr>
                <w:rFonts w:ascii="Times New Roman" w:eastAsia="Calibri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к топливно-энергетическому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баланс</w:t>
            </w: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у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Красногвардейского</w:t>
            </w:r>
            <w:proofErr w:type="gramEnd"/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сельского </w:t>
            </w:r>
            <w:r w:rsidRPr="00FC07E7"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>поселения</w:t>
            </w:r>
            <w:r>
              <w:rPr>
                <w:rFonts w:ascii="Times New Roman" w:eastAsia="Calibri" w:hAnsi="Times New Roman"/>
                <w:b w:val="0"/>
                <w:sz w:val="28"/>
                <w:szCs w:val="24"/>
                <w:lang w:val="ru-RU" w:eastAsia="ru-RU"/>
              </w:rPr>
              <w:t xml:space="preserve"> </w:t>
            </w:r>
            <w:r w:rsidRPr="00735DB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Каневского района за 2019 год</w:t>
            </w:r>
          </w:p>
          <w:p w:rsidR="00D429A4" w:rsidRPr="00604780" w:rsidRDefault="00D429A4" w:rsidP="00925F1F">
            <w:pPr>
              <w:tabs>
                <w:tab w:val="left" w:pos="14351"/>
              </w:tabs>
              <w:ind w:left="12036"/>
              <w:jc w:val="right"/>
            </w:pPr>
            <w:r>
              <w:rPr>
                <w:szCs w:val="16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4" w:type="dxa"/>
            <w:vAlign w:val="bottom"/>
          </w:tcPr>
          <w:p w:rsidR="00D429A4" w:rsidRPr="00BC4961" w:rsidRDefault="00D429A4" w:rsidP="00925F1F">
            <w:pPr>
              <w:snapToGrid w:val="0"/>
              <w:rPr>
                <w:szCs w:val="20"/>
              </w:rPr>
            </w:pPr>
          </w:p>
        </w:tc>
      </w:tr>
    </w:tbl>
    <w:p w:rsidR="00D429A4" w:rsidRDefault="00D429A4" w:rsidP="00D429A4"/>
    <w:tbl>
      <w:tblPr>
        <w:tblW w:w="4613" w:type="pct"/>
        <w:tblLayout w:type="fixed"/>
        <w:tblLook w:val="0000"/>
      </w:tblPr>
      <w:tblGrid>
        <w:gridCol w:w="3036"/>
        <w:gridCol w:w="3768"/>
        <w:gridCol w:w="4134"/>
        <w:gridCol w:w="2704"/>
      </w:tblGrid>
      <w:tr w:rsidR="00D429A4" w:rsidRPr="009F274B" w:rsidTr="00925F1F">
        <w:trPr>
          <w:trHeight w:val="46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Условное топливо   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  <w:highlight w:val="yellow"/>
              </w:rPr>
            </w:pPr>
            <w:r w:rsidRPr="00063F19">
              <w:rPr>
                <w:sz w:val="28"/>
                <w:szCs w:val="28"/>
              </w:rPr>
              <w:t>Газ горючий природный газ естественный (тыс.м3.)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Эл. Энергия</w:t>
            </w:r>
          </w:p>
          <w:p w:rsidR="00D429A4" w:rsidRPr="00063F19" w:rsidRDefault="00C50D3B" w:rsidP="00C50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29A4" w:rsidRPr="00063F19">
              <w:rPr>
                <w:sz w:val="28"/>
                <w:szCs w:val="28"/>
              </w:rPr>
              <w:t>кВт</w:t>
            </w:r>
            <w:r>
              <w:rPr>
                <w:sz w:val="28"/>
                <w:szCs w:val="28"/>
              </w:rPr>
              <w:t>. ч</w:t>
            </w:r>
            <w:r w:rsidR="00D429A4" w:rsidRPr="00063F19">
              <w:rPr>
                <w:sz w:val="28"/>
                <w:szCs w:val="28"/>
              </w:rPr>
              <w:t>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Тепловая энергия</w:t>
            </w:r>
          </w:p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(Гкал)</w:t>
            </w:r>
          </w:p>
        </w:tc>
      </w:tr>
      <w:tr w:rsidR="00D429A4" w:rsidRPr="009F274B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Приходная часть всего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152,7</w:t>
            </w:r>
          </w:p>
        </w:tc>
      </w:tr>
      <w:tr w:rsidR="00D429A4" w:rsidRPr="009F274B" w:rsidTr="00925F1F">
        <w:trPr>
          <w:trHeight w:val="52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Производство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9F274B" w:rsidTr="00925F1F">
        <w:trPr>
          <w:trHeight w:val="49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152,7</w:t>
            </w:r>
          </w:p>
        </w:tc>
      </w:tr>
      <w:tr w:rsidR="00D429A4" w:rsidRPr="00B2485C" w:rsidTr="00925F1F">
        <w:trPr>
          <w:trHeight w:val="46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Собственные нужды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152,7</w:t>
            </w:r>
          </w:p>
        </w:tc>
      </w:tr>
      <w:tr w:rsidR="00D429A4" w:rsidRPr="00B2485C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Потери в сетях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48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Расходная часть всего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</w:p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</w:p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152,7</w:t>
            </w:r>
          </w:p>
        </w:tc>
      </w:tr>
      <w:tr w:rsidR="00D429A4" w:rsidRPr="00B2485C" w:rsidTr="00925F1F">
        <w:trPr>
          <w:trHeight w:val="51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ЖКХ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48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Население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0</w:t>
            </w:r>
          </w:p>
        </w:tc>
      </w:tr>
      <w:tr w:rsidR="00D429A4" w:rsidRPr="00B2485C" w:rsidTr="00925F1F">
        <w:trPr>
          <w:trHeight w:val="34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>Собственные нужды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D429A4" w:rsidP="00925F1F">
            <w:pPr>
              <w:jc w:val="center"/>
              <w:rPr>
                <w:sz w:val="28"/>
                <w:szCs w:val="28"/>
              </w:rPr>
            </w:pPr>
            <w:r w:rsidRPr="00063F1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60027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9A4" w:rsidRPr="00063F19" w:rsidRDefault="00C50D3B" w:rsidP="00925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152,7</w:t>
            </w:r>
          </w:p>
        </w:tc>
      </w:tr>
    </w:tbl>
    <w:p w:rsidR="00D429A4" w:rsidRDefault="00D429A4" w:rsidP="00D429A4"/>
    <w:p w:rsidR="00D429A4" w:rsidRDefault="00D429A4" w:rsidP="00D429A4">
      <w:pPr>
        <w:jc w:val="both"/>
      </w:pPr>
    </w:p>
    <w:p w:rsidR="00B62974" w:rsidRDefault="00B62974" w:rsidP="00D429A4">
      <w:pPr>
        <w:jc w:val="both"/>
      </w:pPr>
    </w:p>
    <w:p w:rsidR="00D429A4" w:rsidRPr="00063F19" w:rsidRDefault="00D429A4" w:rsidP="00D429A4">
      <w:pPr>
        <w:jc w:val="both"/>
        <w:rPr>
          <w:sz w:val="28"/>
          <w:szCs w:val="28"/>
        </w:rPr>
      </w:pPr>
      <w:r w:rsidRPr="00063F19">
        <w:rPr>
          <w:sz w:val="28"/>
          <w:szCs w:val="28"/>
        </w:rPr>
        <w:t xml:space="preserve">Глава </w:t>
      </w:r>
      <w:proofErr w:type="gramStart"/>
      <w:r w:rsidRPr="00063F19">
        <w:rPr>
          <w:sz w:val="28"/>
          <w:szCs w:val="28"/>
        </w:rPr>
        <w:t>Красногвардейского</w:t>
      </w:r>
      <w:proofErr w:type="gramEnd"/>
      <w:r w:rsidRPr="00063F19">
        <w:rPr>
          <w:sz w:val="28"/>
          <w:szCs w:val="28"/>
        </w:rPr>
        <w:t xml:space="preserve"> сельского</w:t>
      </w:r>
    </w:p>
    <w:p w:rsidR="00D429A4" w:rsidRPr="00063F19" w:rsidRDefault="00D429A4" w:rsidP="00D429A4">
      <w:pPr>
        <w:jc w:val="both"/>
        <w:rPr>
          <w:sz w:val="28"/>
          <w:szCs w:val="28"/>
        </w:rPr>
        <w:sectPr w:rsidR="00D429A4" w:rsidRPr="00063F19" w:rsidSect="00735DBB">
          <w:pgSz w:w="16838" w:h="11906" w:orient="landscape"/>
          <w:pgMar w:top="567" w:right="1134" w:bottom="1134" w:left="1134" w:header="720" w:footer="720" w:gutter="0"/>
          <w:cols w:space="720"/>
          <w:docGrid w:linePitch="381"/>
        </w:sectPr>
      </w:pPr>
      <w:r w:rsidRPr="00063F19">
        <w:rPr>
          <w:sz w:val="28"/>
          <w:szCs w:val="28"/>
        </w:rPr>
        <w:t xml:space="preserve">поселения Каневского района                                                           </w:t>
      </w:r>
      <w:proofErr w:type="spellStart"/>
      <w:r w:rsidRPr="00063F19">
        <w:rPr>
          <w:sz w:val="28"/>
          <w:szCs w:val="28"/>
        </w:rPr>
        <w:t>Ю.В.Гринь</w:t>
      </w:r>
      <w:proofErr w:type="spellEnd"/>
    </w:p>
    <w:p w:rsidR="00D429A4" w:rsidRPr="00281D0C" w:rsidRDefault="00D429A4" w:rsidP="00C13CA7">
      <w:pPr>
        <w:rPr>
          <w:sz w:val="28"/>
          <w:szCs w:val="28"/>
        </w:rPr>
      </w:pPr>
    </w:p>
    <w:sectPr w:rsidR="00D429A4" w:rsidRPr="00281D0C" w:rsidSect="00D501A5">
      <w:pgSz w:w="11906" w:h="16838"/>
      <w:pgMar w:top="993" w:right="70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A6" w:rsidRDefault="00EC70A6">
      <w:r>
        <w:separator/>
      </w:r>
    </w:p>
  </w:endnote>
  <w:endnote w:type="continuationSeparator" w:id="1">
    <w:p w:rsidR="00EC70A6" w:rsidRDefault="00EC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A6" w:rsidRDefault="00EC70A6">
      <w:r>
        <w:separator/>
      </w:r>
    </w:p>
  </w:footnote>
  <w:footnote w:type="continuationSeparator" w:id="1">
    <w:p w:rsidR="00EC70A6" w:rsidRDefault="00EC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3F19"/>
    <w:rsid w:val="00070CD5"/>
    <w:rsid w:val="00093C45"/>
    <w:rsid w:val="000D08AD"/>
    <w:rsid w:val="001420F8"/>
    <w:rsid w:val="001B1696"/>
    <w:rsid w:val="001B4F0E"/>
    <w:rsid w:val="001C282F"/>
    <w:rsid w:val="001D3C93"/>
    <w:rsid w:val="001F2781"/>
    <w:rsid w:val="001F5E84"/>
    <w:rsid w:val="00281D0C"/>
    <w:rsid w:val="002D57BB"/>
    <w:rsid w:val="00305D0E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D4288"/>
    <w:rsid w:val="00503DCA"/>
    <w:rsid w:val="00520A75"/>
    <w:rsid w:val="00575A38"/>
    <w:rsid w:val="0058037A"/>
    <w:rsid w:val="00586F7C"/>
    <w:rsid w:val="005A6849"/>
    <w:rsid w:val="005E7483"/>
    <w:rsid w:val="005F56D7"/>
    <w:rsid w:val="00622DEF"/>
    <w:rsid w:val="00646F62"/>
    <w:rsid w:val="00672FA9"/>
    <w:rsid w:val="00691ECE"/>
    <w:rsid w:val="00701B97"/>
    <w:rsid w:val="0071783D"/>
    <w:rsid w:val="007C30A5"/>
    <w:rsid w:val="00827368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2E8A"/>
    <w:rsid w:val="00AA6016"/>
    <w:rsid w:val="00AE4DAA"/>
    <w:rsid w:val="00AF4E10"/>
    <w:rsid w:val="00B62974"/>
    <w:rsid w:val="00BC7776"/>
    <w:rsid w:val="00BE1162"/>
    <w:rsid w:val="00BF1DF7"/>
    <w:rsid w:val="00C043A8"/>
    <w:rsid w:val="00C06653"/>
    <w:rsid w:val="00C13CA7"/>
    <w:rsid w:val="00C33815"/>
    <w:rsid w:val="00C408C5"/>
    <w:rsid w:val="00C42EED"/>
    <w:rsid w:val="00C4401E"/>
    <w:rsid w:val="00C50D3B"/>
    <w:rsid w:val="00C53A44"/>
    <w:rsid w:val="00C9307D"/>
    <w:rsid w:val="00CA6F14"/>
    <w:rsid w:val="00CF459A"/>
    <w:rsid w:val="00D03951"/>
    <w:rsid w:val="00D20CF3"/>
    <w:rsid w:val="00D302FE"/>
    <w:rsid w:val="00D429A4"/>
    <w:rsid w:val="00D47D02"/>
    <w:rsid w:val="00D501A5"/>
    <w:rsid w:val="00D77FD2"/>
    <w:rsid w:val="00D942AE"/>
    <w:rsid w:val="00D95AEF"/>
    <w:rsid w:val="00D973CD"/>
    <w:rsid w:val="00DA6720"/>
    <w:rsid w:val="00DC3AB9"/>
    <w:rsid w:val="00DE1C19"/>
    <w:rsid w:val="00DE2F46"/>
    <w:rsid w:val="00DF1D50"/>
    <w:rsid w:val="00E0508E"/>
    <w:rsid w:val="00E14172"/>
    <w:rsid w:val="00E23033"/>
    <w:rsid w:val="00E70585"/>
    <w:rsid w:val="00EA2E89"/>
    <w:rsid w:val="00EA354D"/>
    <w:rsid w:val="00EC70A6"/>
    <w:rsid w:val="00F81AA4"/>
    <w:rsid w:val="00FD0493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29A4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DE1C19"/>
    <w:pPr>
      <w:suppressAutoHyphens w:val="0"/>
      <w:spacing w:before="100" w:beforeAutospacing="1" w:after="119"/>
    </w:pPr>
    <w:rPr>
      <w:lang w:eastAsia="ru-RU"/>
    </w:rPr>
  </w:style>
  <w:style w:type="paragraph" w:customStyle="1" w:styleId="210">
    <w:name w:val="Основной текст с отступом 21"/>
    <w:basedOn w:val="a"/>
    <w:rsid w:val="00D429A4"/>
    <w:pPr>
      <w:widowControl w:val="0"/>
      <w:autoSpaceDE w:val="0"/>
      <w:ind w:firstLine="567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D429A4"/>
    <w:rPr>
      <w:rFonts w:ascii="Cambria" w:hAnsi="Cambria"/>
      <w:b/>
      <w:bCs/>
      <w:sz w:val="26"/>
      <w:szCs w:val="26"/>
      <w:lang w:val="en-US"/>
    </w:rPr>
  </w:style>
  <w:style w:type="paragraph" w:customStyle="1" w:styleId="af4">
    <w:name w:val="Стиль"/>
    <w:rsid w:val="00D429A4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Топливно-энергетический баланс Красногвардейского сельского поселения</vt:lpstr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4</cp:revision>
  <cp:lastPrinted>2020-09-14T07:26:00Z</cp:lastPrinted>
  <dcterms:created xsi:type="dcterms:W3CDTF">2020-09-07T13:41:00Z</dcterms:created>
  <dcterms:modified xsi:type="dcterms:W3CDTF">2020-09-14T07:42:00Z</dcterms:modified>
</cp:coreProperties>
</file>