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2A71B5" w:rsidP="00A01B85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3C525B" w:rsidRPr="003C525B" w:rsidRDefault="003C525B" w:rsidP="003C525B">
      <w:pPr>
        <w:ind w:left="360"/>
        <w:jc w:val="center"/>
        <w:rPr>
          <w:b/>
          <w:bCs/>
          <w:sz w:val="28"/>
          <w:szCs w:val="28"/>
        </w:rPr>
      </w:pPr>
      <w:bookmarkStart w:id="0" w:name="sub_7"/>
      <w:r w:rsidRPr="003C525B">
        <w:rPr>
          <w:b/>
          <w:bCs/>
          <w:sz w:val="28"/>
          <w:szCs w:val="28"/>
        </w:rPr>
        <w:t>Об утверждении порядка управления находящимися в муниципальной собственности акциями акционерных обществ, долями в уставном капитале обществ с ограниченной ответственностью, созданных в процессе приватизации</w:t>
      </w: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</w:p>
    <w:p w:rsidR="003C525B" w:rsidRPr="003C525B" w:rsidRDefault="003C525B" w:rsidP="003C525B">
      <w:pPr>
        <w:rPr>
          <w:sz w:val="28"/>
          <w:szCs w:val="28"/>
        </w:rPr>
      </w:pPr>
    </w:p>
    <w:p w:rsidR="00A675B5" w:rsidRPr="00695ACE" w:rsidRDefault="003C525B" w:rsidP="003C525B">
      <w:pPr>
        <w:suppressAutoHyphens w:val="0"/>
        <w:ind w:firstLine="709"/>
        <w:jc w:val="both"/>
        <w:rPr>
          <w:sz w:val="28"/>
          <w:szCs w:val="28"/>
          <w:lang w:eastAsia="zh-CN"/>
        </w:rPr>
      </w:pPr>
      <w:r w:rsidRPr="003C525B">
        <w:rPr>
          <w:sz w:val="28"/>
          <w:szCs w:val="28"/>
        </w:rPr>
        <w:t>В соответствии с Гражданским кодексом Российской Федерации, Федеральным законом от 26 декабря 1995 г. № 208-ФЗ "Об акционерных обществах", Федеральным законом от 8 февраля 1998 г. № 14-ФЗ "Об обществах с ограниченной ответственностью", Федеральным законом от 21 декабря 2001 г. N 178-ФЗ "О приватизации государственного и муниципального имущества", Уставом Красногвардейского сельского поселения Каневского района</w:t>
      </w:r>
      <w:r w:rsidR="00A675B5" w:rsidRPr="003C525B">
        <w:rPr>
          <w:sz w:val="28"/>
          <w:szCs w:val="28"/>
          <w:lang w:eastAsia="zh-CN"/>
        </w:rPr>
        <w:t>,</w:t>
      </w:r>
      <w:r w:rsidR="00A90F2A" w:rsidRPr="003C525B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="00A675B5" w:rsidRPr="00695ACE">
        <w:rPr>
          <w:bCs/>
          <w:sz w:val="28"/>
          <w:szCs w:val="28"/>
          <w:lang w:eastAsia="zh-CN"/>
        </w:rPr>
        <w:t>п</w:t>
      </w:r>
      <w:proofErr w:type="spellEnd"/>
      <w:proofErr w:type="gramEnd"/>
      <w:r w:rsidR="00A675B5" w:rsidRPr="00695ACE">
        <w:rPr>
          <w:bCs/>
          <w:sz w:val="28"/>
          <w:szCs w:val="28"/>
          <w:lang w:eastAsia="zh-CN"/>
        </w:rPr>
        <w:t xml:space="preserve"> о с т а </w:t>
      </w:r>
      <w:proofErr w:type="spellStart"/>
      <w:r w:rsidR="00A675B5" w:rsidRPr="00695ACE">
        <w:rPr>
          <w:bCs/>
          <w:sz w:val="28"/>
          <w:szCs w:val="28"/>
          <w:lang w:eastAsia="zh-CN"/>
        </w:rPr>
        <w:t>н</w:t>
      </w:r>
      <w:proofErr w:type="spellEnd"/>
      <w:r w:rsidR="00A675B5" w:rsidRPr="00695ACE">
        <w:rPr>
          <w:bCs/>
          <w:sz w:val="28"/>
          <w:szCs w:val="28"/>
          <w:lang w:eastAsia="zh-CN"/>
        </w:rPr>
        <w:t xml:space="preserve"> о в л я ю:</w:t>
      </w:r>
    </w:p>
    <w:p w:rsidR="003C525B" w:rsidRPr="003C525B" w:rsidRDefault="00A675B5" w:rsidP="003C525B">
      <w:pPr>
        <w:autoSpaceDE w:val="0"/>
        <w:ind w:firstLine="720"/>
        <w:jc w:val="both"/>
        <w:rPr>
          <w:sz w:val="28"/>
          <w:szCs w:val="28"/>
        </w:rPr>
      </w:pPr>
      <w:r w:rsidRPr="00695ACE">
        <w:rPr>
          <w:sz w:val="28"/>
          <w:lang w:eastAsia="zh-CN"/>
        </w:rPr>
        <w:t xml:space="preserve">1. </w:t>
      </w:r>
      <w:r w:rsidR="003C525B" w:rsidRPr="003C525B">
        <w:rPr>
          <w:sz w:val="28"/>
          <w:szCs w:val="28"/>
        </w:rPr>
        <w:t>Утвердить Порядок управления находящимися в муниципальной собственности акциями акционерных обществ, долями в уставном капитале обществ с ограниченной ответственностью, созданных в процессе приватизации (прилагается).</w:t>
      </w:r>
    </w:p>
    <w:p w:rsidR="00B4514A" w:rsidRDefault="002A71B5" w:rsidP="003C525B">
      <w:pPr>
        <w:suppressAutoHyphens w:val="0"/>
        <w:ind w:firstLine="709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B4514A" w:rsidRPr="00B4514A" w:rsidRDefault="00B4514A" w:rsidP="00B4514A"/>
    <w:p w:rsidR="00A675B5" w:rsidRDefault="00A675B5" w:rsidP="00B4514A">
      <w:pPr>
        <w:ind w:left="4820"/>
        <w:rPr>
          <w:rFonts w:cs="Arial"/>
          <w:sz w:val="28"/>
          <w:szCs w:val="28"/>
        </w:rPr>
      </w:pPr>
    </w:p>
    <w:p w:rsidR="00A675B5" w:rsidRDefault="00A675B5" w:rsidP="00B4514A">
      <w:pPr>
        <w:ind w:left="4820"/>
        <w:rPr>
          <w:rFonts w:cs="Arial"/>
          <w:sz w:val="28"/>
          <w:szCs w:val="28"/>
        </w:rPr>
      </w:pPr>
    </w:p>
    <w:p w:rsidR="00A675B5" w:rsidRDefault="00A675B5" w:rsidP="00B4514A">
      <w:pPr>
        <w:ind w:left="4820"/>
        <w:rPr>
          <w:rFonts w:cs="Arial"/>
          <w:sz w:val="28"/>
          <w:szCs w:val="28"/>
        </w:rPr>
      </w:pPr>
    </w:p>
    <w:p w:rsidR="00A675B5" w:rsidRDefault="00A675B5" w:rsidP="00B4514A">
      <w:pPr>
        <w:ind w:left="4820"/>
        <w:rPr>
          <w:rFonts w:cs="Arial"/>
          <w:sz w:val="28"/>
          <w:szCs w:val="28"/>
        </w:rPr>
      </w:pPr>
    </w:p>
    <w:p w:rsidR="00B4514A" w:rsidRPr="00AA6AF9" w:rsidRDefault="00B4514A" w:rsidP="00B4514A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lastRenderedPageBreak/>
        <w:t>ПРИЛОЖЕНИЕ</w:t>
      </w:r>
    </w:p>
    <w:p w:rsidR="00B4514A" w:rsidRPr="00AA6AF9" w:rsidRDefault="00B4514A" w:rsidP="00B4514A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>УТВЕРЖДЕН</w:t>
      </w:r>
    </w:p>
    <w:p w:rsidR="00B4514A" w:rsidRPr="00AA6AF9" w:rsidRDefault="00B4514A" w:rsidP="00B4514A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 xml:space="preserve">постановлением администрации </w:t>
      </w:r>
    </w:p>
    <w:p w:rsidR="00B4514A" w:rsidRPr="00AA6AF9" w:rsidRDefault="00B4514A" w:rsidP="00B4514A">
      <w:pPr>
        <w:ind w:left="48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Красногвардейского</w:t>
      </w:r>
      <w:r w:rsidRPr="00AA6AF9">
        <w:rPr>
          <w:rFonts w:cs="Arial"/>
          <w:sz w:val="28"/>
          <w:szCs w:val="28"/>
        </w:rPr>
        <w:t xml:space="preserve"> сельского </w:t>
      </w:r>
    </w:p>
    <w:p w:rsidR="00B4514A" w:rsidRDefault="00B4514A" w:rsidP="00B4514A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>поселения Каневского района</w:t>
      </w:r>
    </w:p>
    <w:p w:rsidR="002A71B5" w:rsidRPr="00B4514A" w:rsidRDefault="00B4514A" w:rsidP="00B4514A">
      <w:pPr>
        <w:ind w:left="4820"/>
        <w:rPr>
          <w:rFonts w:cs="Arial"/>
          <w:sz w:val="28"/>
          <w:szCs w:val="28"/>
        </w:rPr>
      </w:pPr>
      <w:r w:rsidRPr="00AA6AF9"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__________</w:t>
      </w:r>
      <w:r w:rsidRPr="00AA6AF9">
        <w:rPr>
          <w:rFonts w:cs="Arial"/>
          <w:sz w:val="28"/>
          <w:szCs w:val="28"/>
        </w:rPr>
        <w:t xml:space="preserve"> № </w:t>
      </w:r>
      <w:r>
        <w:rPr>
          <w:rFonts w:cs="Arial"/>
          <w:sz w:val="28"/>
          <w:szCs w:val="28"/>
        </w:rPr>
        <w:t>__________</w:t>
      </w:r>
    </w:p>
    <w:p w:rsidR="002A71B5" w:rsidRPr="003C525B" w:rsidRDefault="002A71B5" w:rsidP="002A71B5">
      <w:pPr>
        <w:tabs>
          <w:tab w:val="left" w:pos="870"/>
          <w:tab w:val="left" w:pos="1575"/>
        </w:tabs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</w:p>
    <w:p w:rsidR="00A675B5" w:rsidRPr="003C525B" w:rsidRDefault="00A675B5" w:rsidP="002A71B5">
      <w:pPr>
        <w:tabs>
          <w:tab w:val="left" w:pos="870"/>
          <w:tab w:val="left" w:pos="1575"/>
        </w:tabs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  <w:r w:rsidRPr="003C525B">
        <w:rPr>
          <w:b/>
          <w:bCs/>
          <w:sz w:val="28"/>
          <w:szCs w:val="28"/>
        </w:rPr>
        <w:t>Порядок</w:t>
      </w: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  <w:r w:rsidRPr="003C525B">
        <w:rPr>
          <w:b/>
          <w:bCs/>
          <w:sz w:val="28"/>
          <w:szCs w:val="28"/>
        </w:rPr>
        <w:t xml:space="preserve">управления </w:t>
      </w:r>
      <w:proofErr w:type="gramStart"/>
      <w:r w:rsidRPr="003C525B">
        <w:rPr>
          <w:b/>
          <w:bCs/>
          <w:sz w:val="28"/>
          <w:szCs w:val="28"/>
        </w:rPr>
        <w:t>находящимися</w:t>
      </w:r>
      <w:proofErr w:type="gramEnd"/>
      <w:r w:rsidRPr="003C525B">
        <w:rPr>
          <w:b/>
          <w:bCs/>
          <w:sz w:val="28"/>
          <w:szCs w:val="28"/>
        </w:rPr>
        <w:t xml:space="preserve"> в муниципальной собственности</w:t>
      </w: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  <w:r w:rsidRPr="003C525B">
        <w:rPr>
          <w:b/>
          <w:bCs/>
          <w:sz w:val="28"/>
          <w:szCs w:val="28"/>
        </w:rPr>
        <w:t>акциями акционерных обществ, долями в уставном капитале</w:t>
      </w: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  <w:r w:rsidRPr="003C525B">
        <w:rPr>
          <w:b/>
          <w:bCs/>
          <w:sz w:val="28"/>
          <w:szCs w:val="28"/>
        </w:rPr>
        <w:t>обществ с ограниченной ответственностью, созданных</w:t>
      </w:r>
    </w:p>
    <w:p w:rsidR="003C525B" w:rsidRPr="003C525B" w:rsidRDefault="003C525B" w:rsidP="003C525B">
      <w:pPr>
        <w:jc w:val="center"/>
        <w:rPr>
          <w:b/>
          <w:bCs/>
          <w:sz w:val="28"/>
          <w:szCs w:val="28"/>
        </w:rPr>
      </w:pPr>
      <w:r w:rsidRPr="003C525B">
        <w:rPr>
          <w:b/>
          <w:bCs/>
          <w:sz w:val="28"/>
          <w:szCs w:val="28"/>
        </w:rPr>
        <w:t>в процессе приватизации</w:t>
      </w:r>
    </w:p>
    <w:p w:rsidR="003C525B" w:rsidRPr="003C525B" w:rsidRDefault="003C525B" w:rsidP="003C525B">
      <w:pPr>
        <w:rPr>
          <w:bCs/>
          <w:sz w:val="28"/>
          <w:szCs w:val="28"/>
        </w:rPr>
      </w:pP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1. Настоящий Порядок определяет порядок и способы управления находящимися в муниципальной собственности акциями акционерных обществ, долями в уставном капитале обществ с ограниченной ответственностью, созданных в процессе приватизации (далее - акции и доли).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2. Управление находящимися в собственности </w:t>
      </w:r>
      <w:proofErr w:type="gramStart"/>
      <w:r w:rsidRPr="003C525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расногвардейского</w:t>
      </w:r>
      <w:proofErr w:type="gramEnd"/>
      <w:r w:rsidRPr="003C525B">
        <w:rPr>
          <w:bCs/>
          <w:sz w:val="28"/>
          <w:szCs w:val="28"/>
        </w:rPr>
        <w:t xml:space="preserve"> сельского поселения Каневского района (далее - сельское поселение) акциями и долями осуществляется следующими способами: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а) посредством участия в органах управления акционерных обществ и обществ с ограниченной ответственностью;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б) посредством отчуждения акций и долей в собственность физических и юридических лиц в порядке, предусмотренном законодательством Российской Федерации.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3. Целями управления находящимися в муниципальной собственности акциями, долями являются: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а) обеспечение поступления в бюджет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 доходов в виде прибыли, приходящейся на доли в уставных капиталах обществ с ограниченной ответственностью, или дивидендов по акциям, принадлежащим муниципальному образованию;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б) повышение эффективности управления акциями и долями;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в) сохранение рабочих мест в акционерных обществах и обществах с ограниченной ответственностью;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г) привлечение инвестиций в акционерные общества и общества с ограниченной ответственностью.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4. Права акционера в акционерном обществе, права участника общества с ограниченной ответственностью, созданных в процессе приватизации, акции и доли которых находятся в муниципальной собственности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района, от имени сельского поселения осуществляет администрация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 (далее - уполномоченный орган).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5. </w:t>
      </w:r>
      <w:proofErr w:type="gramStart"/>
      <w:r w:rsidRPr="003C525B">
        <w:rPr>
          <w:bCs/>
          <w:sz w:val="28"/>
          <w:szCs w:val="28"/>
        </w:rPr>
        <w:t>Уполномоченный орган осуществляет волеизъявление акционера –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 в акционерном обществе, в том числе вносит вопросы в повестку дня общего собрания акционеров акционерного общества (далее - общее собрание акционеров), выдвигает кандидатов для избрания в органы управления, ревизионную и счетную комиссии, предъявляет требования о проведении внеочередного общего собрания акционеров, созывает внеочередное общее собрание акционеров, назначает представителя (выдает доверенности) для голосования</w:t>
      </w:r>
      <w:proofErr w:type="gramEnd"/>
      <w:r w:rsidRPr="003C525B">
        <w:rPr>
          <w:bCs/>
          <w:sz w:val="28"/>
          <w:szCs w:val="28"/>
        </w:rPr>
        <w:t xml:space="preserve"> на общем собрании акционеров, определяет позицию по вопросам повестки дня общего собрания акционеров.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6. Представитель действует на основании выданной уполномоченным органом доверенности.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7. В целях подготовки позиции акционера - сельское поселение - уполномоченный орган направляет сообщение о проведении общего собрания акционеров с приложением повестки дня и материалов, полученных от акционерного общества, в 5-дневный срок с даты их получения, но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20 дней до даты проведения общего собрания акционеров, а если повестка дня общего собрания акционеров содержит вопрос о реорганизации акционерного общества -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25 дней до указанной даты.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8. </w:t>
      </w:r>
      <w:proofErr w:type="gramStart"/>
      <w:r w:rsidRPr="003C525B">
        <w:rPr>
          <w:bCs/>
          <w:sz w:val="28"/>
          <w:szCs w:val="28"/>
        </w:rPr>
        <w:t>Уполномоченный орган направляет свое предложение, касающееся голосования по вопросам повестки дня годового общего собрания акционеров в течение 3-х дней после получения сообщения о проведении годового общего собрания акционеров, но не позднее 15-ти дней до даты проведения годового общего собрания акционеров, а если повестка дня годового общего собрания акционеров содержит вопрос о реорганизации акционерного общества - не позднее 20-ти дней до указанной</w:t>
      </w:r>
      <w:proofErr w:type="gramEnd"/>
      <w:r w:rsidRPr="003C525B">
        <w:rPr>
          <w:bCs/>
          <w:sz w:val="28"/>
          <w:szCs w:val="28"/>
        </w:rPr>
        <w:t xml:space="preserve"> даты.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9.  Администрация направляет свое предложение по вопросу предъявления требования о проведении внеочередного общего собрания акционеров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20 дней до предполагаемой даты его проведения. В случае если в повестку дня внеочередного общего собрания акционеров </w:t>
      </w:r>
      <w:proofErr w:type="gramStart"/>
      <w:r w:rsidRPr="003C525B">
        <w:rPr>
          <w:bCs/>
          <w:sz w:val="28"/>
          <w:szCs w:val="28"/>
        </w:rPr>
        <w:t>включается вопрос об избрании членов совета директоров указанный срок составляет</w:t>
      </w:r>
      <w:proofErr w:type="gramEnd"/>
      <w:r w:rsidRPr="003C525B">
        <w:rPr>
          <w:bCs/>
          <w:sz w:val="28"/>
          <w:szCs w:val="28"/>
        </w:rPr>
        <w:t xml:space="preserve"> 30 дней.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Указанное предложение должно содержать формулировки вопросов, подлежащих внесению в повестку дня внеочередного общего собрания акционеров, и формулировки решений по ним, а также предложение о форме проведения общего собрания акционеров. Предложение представляется с пояснительной запиской, содержащей обоснование внесения в повестку дня предлагаемого вопроса, а также с приложением материалов, необходимых для принятия решения.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10. При внесении в повестку дня внеочередного общего собрания акционеров вопроса об изменении состава органов управления, ревизионной и счетной комиссий также представляется информация о кандидатах для избрания в органы управления, ревизионную и счетную комиссии акционерного общества.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11. Администрация направляет свое предложение по внесению вопросов в повестку дня годового общего собрания акционеров и выдвижению кандидатов для избрания на указанном собрании в органы управления, ревизионную и счетную комиссии до 30 декабря года, предшествующего году проведения годового общего собрания акционеров. Предложение должно содержать позицию, касающуюся голосования по предлагаемым вопросам, формулировки решений по ним с приложением пояснительной записки и необходимых материалов, а также информацию о кандидатах для избрания в органы управления, ревизионную и счетную комиссии акционерного общества.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12. </w:t>
      </w:r>
      <w:proofErr w:type="gramStart"/>
      <w:r w:rsidRPr="003C525B">
        <w:rPr>
          <w:bCs/>
          <w:sz w:val="28"/>
          <w:szCs w:val="28"/>
        </w:rPr>
        <w:t>Уполномоченный орган осуществляет волеизъявление участника общества с ограниченной ответственностью - сельского поселения - в обществе с ограниченной ответственностью, в том числе вносит предложения о включении в повестку дня общего собрания участников общества с ограниченной ответственностью (далее - общее собрание участников общества) вопросов, выдвигает кандидата (кандидатов) для назначения в качестве единоличного исполнительного органа общества с ограниченной ответственностью, предъявляет требования о проведении внеочередного общего собрания</w:t>
      </w:r>
      <w:proofErr w:type="gramEnd"/>
      <w:r w:rsidRPr="003C525B">
        <w:rPr>
          <w:bCs/>
          <w:sz w:val="28"/>
          <w:szCs w:val="28"/>
        </w:rPr>
        <w:t xml:space="preserve"> участников общества, созывает внеочередное общее собрание участников общества, назначает представителя (выдает доверенности) для голосования на общем собрании участников общества, определяет позицию по вопросам </w:t>
      </w:r>
      <w:proofErr w:type="gramStart"/>
      <w:r w:rsidRPr="003C525B">
        <w:rPr>
          <w:bCs/>
          <w:sz w:val="28"/>
          <w:szCs w:val="28"/>
        </w:rPr>
        <w:t>повестки дня общего собрания участников общества</w:t>
      </w:r>
      <w:proofErr w:type="gramEnd"/>
      <w:r w:rsidRPr="003C525B">
        <w:rPr>
          <w:bCs/>
          <w:sz w:val="28"/>
          <w:szCs w:val="28"/>
        </w:rPr>
        <w:t>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13. Представитель действует на основании выданной уполномоченным органом доверенности.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14. В целях подготовки позиции участника общества с ограниченной ответственностью - сельского поселения - уполномоченный орган направляет сообщение о проведении общего собрания участников общества с приложением повестки дня и материалов, полученных от общества с ограниченной ответственностью, в 5-дневный срок с даты их получения, но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20 дней до даты проведения общего собрания участников общества, а если повестка дня общего собрания участников общества содержит вопрос о реорганизации общества с ограниченной ответственностью -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25 дней до указанной даты.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15. </w:t>
      </w:r>
      <w:proofErr w:type="gramStart"/>
      <w:r w:rsidRPr="003C525B">
        <w:rPr>
          <w:bCs/>
          <w:sz w:val="28"/>
          <w:szCs w:val="28"/>
        </w:rPr>
        <w:t>Администрация направляет свое предложение, касающееся голосования по вопросам повестки дня очередного общего собрания участников общества, в течение 3-х дней после получения сообщения о проведении общего собрания участников общества, но не позднее 15-ти дней до даты проведения общего собрания участников общества, а если повестка дня общего собрания участников общества содержит вопрос о реорганизации общества с ограниченной ответственностью - не позднее 20-ти дней</w:t>
      </w:r>
      <w:proofErr w:type="gramEnd"/>
      <w:r w:rsidRPr="003C525B">
        <w:rPr>
          <w:bCs/>
          <w:sz w:val="28"/>
          <w:szCs w:val="28"/>
        </w:rPr>
        <w:t xml:space="preserve"> до указанной даты.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16. Администрация направляет свое предложение, связанное с предъявлением требований о проведении внеочередного общего собрания участников общества, содержащее формулировки вопросов, подлежащих внесению в повестку дня внеочередного общего собрания участников общества, и формулировки соответствующих решений,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20 дней до даты его проведения.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17. При внесении в повестку дня вопроса об избрании единоличного исполнительного органа общества с ограниченной ответственностью также представляется информация о кандидате (кандидатах).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 xml:space="preserve">18. Администрация направляет свое предложение по внесению вопросов в повестку дня общего собрания участников общества и выдвижению кандидата (кандидатов) для назначения единоличного исполнительного органа общества с ограниченной ответственностью, содержащее позицию, касающуюся голосования по предлагаемым вопросам и формулировки соответствующих решений, не </w:t>
      </w:r>
      <w:proofErr w:type="gramStart"/>
      <w:r w:rsidRPr="003C525B">
        <w:rPr>
          <w:bCs/>
          <w:sz w:val="28"/>
          <w:szCs w:val="28"/>
        </w:rPr>
        <w:t>позднее</w:t>
      </w:r>
      <w:proofErr w:type="gramEnd"/>
      <w:r w:rsidRPr="003C525B">
        <w:rPr>
          <w:bCs/>
          <w:sz w:val="28"/>
          <w:szCs w:val="28"/>
        </w:rPr>
        <w:t xml:space="preserve"> чем за 20 дней до срока проведения общего собрания участников общества, определенного уставом общества с ограниченной ответственностью.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19. Учет акций и долей, находящихся в муниципальной собственности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района, ведет уполномоченный орган в соответствии с Порядком управления и распоряжения имуществом, находящимся в муниципальной собственности, утвержденным решением Совета К</w:t>
      </w:r>
      <w:r>
        <w:rPr>
          <w:bCs/>
          <w:sz w:val="28"/>
          <w:szCs w:val="28"/>
        </w:rPr>
        <w:t>расногвардейског</w:t>
      </w:r>
      <w:r w:rsidRPr="003C525B">
        <w:rPr>
          <w:bCs/>
          <w:sz w:val="28"/>
          <w:szCs w:val="28"/>
        </w:rPr>
        <w:t>о сельского поселения Каневского района.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20. Акции и доли подлежат включению в реестр муниципального имущества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21. При включении акций и долей в реестр муниципального имущества К</w:t>
      </w:r>
      <w:r>
        <w:rPr>
          <w:bCs/>
          <w:sz w:val="28"/>
          <w:szCs w:val="28"/>
        </w:rPr>
        <w:t>расногвардейского</w:t>
      </w:r>
      <w:r w:rsidRPr="003C525B">
        <w:rPr>
          <w:bCs/>
          <w:sz w:val="28"/>
          <w:szCs w:val="28"/>
        </w:rPr>
        <w:t xml:space="preserve"> сельского поселения Каневского района в обязательном порядке указывается размер и номинальная стоимость акций и долей.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22. Продажа акций и долей осуществляется в соответствии с Федеральным законом от 21 декабря 2001 г. N 178-ФЗ "О приватизации государственного и муниципального имущества".</w:t>
      </w:r>
    </w:p>
    <w:p w:rsidR="003C525B" w:rsidRPr="003C525B" w:rsidRDefault="003C525B" w:rsidP="003C525B">
      <w:pPr>
        <w:ind w:firstLine="709"/>
        <w:jc w:val="both"/>
        <w:rPr>
          <w:bCs/>
          <w:sz w:val="28"/>
          <w:szCs w:val="28"/>
        </w:rPr>
      </w:pPr>
      <w:r w:rsidRPr="003C525B">
        <w:rPr>
          <w:bCs/>
          <w:sz w:val="28"/>
          <w:szCs w:val="28"/>
        </w:rPr>
        <w:t>23. Вопросы, не урегулированные настоящим Порядком, решаются в соответствии с законодательством Российской Федерации.</w:t>
      </w:r>
    </w:p>
    <w:p w:rsidR="003C525B" w:rsidRPr="003C525B" w:rsidRDefault="003C525B" w:rsidP="003C525B">
      <w:pPr>
        <w:jc w:val="both"/>
        <w:rPr>
          <w:bCs/>
          <w:sz w:val="28"/>
          <w:szCs w:val="28"/>
        </w:rPr>
      </w:pPr>
    </w:p>
    <w:p w:rsidR="00090264" w:rsidRDefault="00090264" w:rsidP="00A675B5">
      <w:pPr>
        <w:tabs>
          <w:tab w:val="left" w:pos="870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525B" w:rsidRDefault="003C525B" w:rsidP="00A675B5">
      <w:pPr>
        <w:tabs>
          <w:tab w:val="left" w:pos="870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F2A" w:rsidRPr="00000FCC" w:rsidRDefault="00A90F2A" w:rsidP="00A90F2A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Ведущий специалист </w:t>
      </w:r>
      <w:r w:rsidR="00090264" w:rsidRPr="00000FCC">
        <w:rPr>
          <w:sz w:val="28"/>
          <w:szCs w:val="28"/>
        </w:rPr>
        <w:t>общего отдела</w:t>
      </w:r>
    </w:p>
    <w:p w:rsidR="00090264" w:rsidRDefault="00A90F2A" w:rsidP="00A90F2A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A90F2A" w:rsidRPr="00F94C62" w:rsidRDefault="00A90F2A" w:rsidP="00A90F2A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90264">
        <w:rPr>
          <w:sz w:val="28"/>
          <w:szCs w:val="28"/>
        </w:rPr>
        <w:t xml:space="preserve">Каневского района    </w:t>
      </w:r>
      <w:r>
        <w:rPr>
          <w:sz w:val="28"/>
          <w:szCs w:val="28"/>
        </w:rPr>
        <w:t xml:space="preserve">                                           Т.В. Дудка</w:t>
      </w:r>
    </w:p>
    <w:sectPr w:rsidR="00A90F2A" w:rsidRPr="00F94C62" w:rsidSect="00A675B5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90264"/>
    <w:rsid w:val="001154E3"/>
    <w:rsid w:val="00271AA7"/>
    <w:rsid w:val="002A71B5"/>
    <w:rsid w:val="002E7FF5"/>
    <w:rsid w:val="003C525B"/>
    <w:rsid w:val="005009AE"/>
    <w:rsid w:val="007865D6"/>
    <w:rsid w:val="00A01B85"/>
    <w:rsid w:val="00A675B5"/>
    <w:rsid w:val="00A90F2A"/>
    <w:rsid w:val="00B4514A"/>
    <w:rsid w:val="00B51854"/>
    <w:rsid w:val="00B947EB"/>
    <w:rsid w:val="00C10856"/>
    <w:rsid w:val="00C41CCF"/>
    <w:rsid w:val="00C5251C"/>
    <w:rsid w:val="00C63CBB"/>
    <w:rsid w:val="00C64B4F"/>
    <w:rsid w:val="00F42A77"/>
    <w:rsid w:val="00FB769F"/>
    <w:rsid w:val="00FF30EC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EC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FF30EC"/>
    <w:rPr>
      <w:sz w:val="28"/>
      <w:szCs w:val="28"/>
    </w:rPr>
  </w:style>
  <w:style w:type="character" w:customStyle="1" w:styleId="Absatz-Standardschriftart">
    <w:name w:val="Absatz-Standardschriftart"/>
    <w:rsid w:val="00FF30EC"/>
  </w:style>
  <w:style w:type="character" w:customStyle="1" w:styleId="a3">
    <w:name w:val="Символ нумерации"/>
    <w:rsid w:val="00FF30EC"/>
  </w:style>
  <w:style w:type="paragraph" w:customStyle="1" w:styleId="a4">
    <w:name w:val="Заголовок"/>
    <w:basedOn w:val="a"/>
    <w:next w:val="a5"/>
    <w:rsid w:val="00FF30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FF30EC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FF30EC"/>
    <w:rPr>
      <w:rFonts w:cs="Tahoma"/>
    </w:rPr>
  </w:style>
  <w:style w:type="paragraph" w:customStyle="1" w:styleId="11">
    <w:name w:val="Название1"/>
    <w:basedOn w:val="a"/>
    <w:rsid w:val="00FF30E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F30EC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FF30EC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FF30EC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FF30EC"/>
    <w:pPr>
      <w:ind w:left="720"/>
    </w:pPr>
  </w:style>
  <w:style w:type="paragraph" w:customStyle="1" w:styleId="13">
    <w:name w:val="Название объекта1"/>
    <w:basedOn w:val="a"/>
    <w:next w:val="a"/>
    <w:rsid w:val="00FF30EC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2020-03-25T14:09:00Z</cp:lastPrinted>
  <dcterms:created xsi:type="dcterms:W3CDTF">2020-11-17T05:30:00Z</dcterms:created>
  <dcterms:modified xsi:type="dcterms:W3CDTF">2020-11-17T05:30:00Z</dcterms:modified>
</cp:coreProperties>
</file>