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2BB1" w14:textId="77777777" w:rsidR="00D70939" w:rsidRPr="002F6706" w:rsidRDefault="00831F23">
      <w:pPr>
        <w:rPr>
          <w:rFonts w:ascii="Times New Roman" w:hAnsi="Times New Roman" w:cs="Times New Roman"/>
        </w:rPr>
      </w:pPr>
      <w:r w:rsidRPr="002F6706">
        <w:rPr>
          <w:rFonts w:ascii="Times New Roman" w:hAnsi="Times New Roman" w:cs="Times New Roman"/>
          <w:color w:val="2A2C32"/>
          <w:spacing w:val="3"/>
        </w:rPr>
        <w:t>Заявителями являются юридические лица и индивидуальные предприниматели либо их уполномоченные представители, относящиеся к субъектам малого и среднего предпринимательства (далее – субъект МСП), осуществляющие деятельность в сфере социального предпринимательства, соответствующую одному или нескольким из следующих условий:</w:t>
      </w:r>
      <w:r w:rsidRPr="002F6706">
        <w:rPr>
          <w:rFonts w:ascii="Times New Roman" w:hAnsi="Times New Roman" w:cs="Times New Roman"/>
          <w:color w:val="2A2C32"/>
          <w:spacing w:val="3"/>
        </w:rPr>
        <w:br/>
      </w:r>
      <w:r w:rsidRPr="002F6706">
        <w:rPr>
          <w:rFonts w:ascii="Times New Roman" w:hAnsi="Times New Roman" w:cs="Times New Roman"/>
          <w:color w:val="2A2C32"/>
          <w:spacing w:val="3"/>
        </w:rPr>
        <w:br/>
      </w:r>
      <w:r w:rsidRPr="002F6706">
        <w:rPr>
          <w:rFonts w:ascii="Times New Roman" w:hAnsi="Times New Roman" w:cs="Times New Roman"/>
          <w:b/>
          <w:bCs/>
          <w:color w:val="2A2C32"/>
          <w:spacing w:val="3"/>
        </w:rPr>
        <w:t>Категория 1</w:t>
      </w:r>
      <w:r w:rsidRPr="002F6706">
        <w:rPr>
          <w:rFonts w:ascii="Times New Roman" w:hAnsi="Times New Roman" w:cs="Times New Roman"/>
          <w:color w:val="2A2C32"/>
          <w:spacing w:val="3"/>
        </w:rPr>
        <w:t xml:space="preserve"> - субъект МСП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МСП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а) инвалиды и лица с ограниченными возможностями здоровья;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б) одинокие и (или) многодетные родители, воспитывающие несовершеннолетних детей, в том числе детей-инвалидов;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в) 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г) выпускники детских домов в возрасте до двадцати трех лет;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д) лица, освобожденные из мест лишения свободы и имеющие неснятую или непогашенную судимость;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е) беженцы и вынужденные переселенцы;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ж) малоимущие граждане;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з) лица без определенного места жительства и занятий;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и) граждане, не указанные в подпунктах «а» – «з» настоящего подпункта, признанные нуждающимися в социальном обслуживании.</w:t>
      </w:r>
      <w:r w:rsidRPr="002F6706">
        <w:rPr>
          <w:rFonts w:ascii="Times New Roman" w:hAnsi="Times New Roman" w:cs="Times New Roman"/>
          <w:color w:val="2A2C32"/>
          <w:spacing w:val="3"/>
        </w:rPr>
        <w:br/>
      </w:r>
      <w:r w:rsidRPr="002F6706">
        <w:rPr>
          <w:rFonts w:ascii="Times New Roman" w:hAnsi="Times New Roman" w:cs="Times New Roman"/>
          <w:color w:val="2A2C32"/>
          <w:spacing w:val="3"/>
        </w:rPr>
        <w:br/>
      </w:r>
      <w:r w:rsidRPr="002F6706">
        <w:rPr>
          <w:rFonts w:ascii="Times New Roman" w:hAnsi="Times New Roman" w:cs="Times New Roman"/>
          <w:b/>
          <w:bCs/>
          <w:color w:val="2A2C32"/>
          <w:spacing w:val="3"/>
        </w:rPr>
        <w:t>Категория 2</w:t>
      </w:r>
      <w:r w:rsidRPr="002F6706">
        <w:rPr>
          <w:rFonts w:ascii="Times New Roman" w:hAnsi="Times New Roman" w:cs="Times New Roman"/>
          <w:color w:val="2A2C32"/>
          <w:spacing w:val="3"/>
        </w:rPr>
        <w:t xml:space="preserve"> - субъект МСП (за исключением субъекта МСП, указанного в подпункте 1) обеспечивает реализацию производимых гражданами из числа категорий, указанных в подпункте 1 настоящего пункта, товаров (работ, услуг).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МСП, а доля полученной субъектом МСП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год).</w:t>
      </w:r>
      <w:r w:rsidRPr="002F6706">
        <w:rPr>
          <w:rFonts w:ascii="Times New Roman" w:hAnsi="Times New Roman" w:cs="Times New Roman"/>
          <w:color w:val="2A2C32"/>
          <w:spacing w:val="3"/>
        </w:rPr>
        <w:br/>
      </w:r>
      <w:r w:rsidRPr="002F6706">
        <w:rPr>
          <w:rFonts w:ascii="Times New Roman" w:hAnsi="Times New Roman" w:cs="Times New Roman"/>
          <w:color w:val="2A2C32"/>
          <w:spacing w:val="3"/>
        </w:rPr>
        <w:br/>
      </w:r>
      <w:r w:rsidRPr="002F6706">
        <w:rPr>
          <w:rFonts w:ascii="Times New Roman" w:hAnsi="Times New Roman" w:cs="Times New Roman"/>
          <w:b/>
          <w:bCs/>
          <w:color w:val="2A2C32"/>
          <w:spacing w:val="3"/>
        </w:rPr>
        <w:t>Категория 3</w:t>
      </w:r>
      <w:r w:rsidRPr="002F6706">
        <w:rPr>
          <w:rFonts w:ascii="Times New Roman" w:hAnsi="Times New Roman" w:cs="Times New Roman"/>
          <w:color w:val="2A2C32"/>
          <w:spacing w:val="3"/>
        </w:rPr>
        <w:t xml:space="preserve"> - субъект МСП осуществляет деятельность по производству товаров (работ, услуг), предназначенных для граждан из числа категорий, указанных в подпункте 1,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МСП, а доля полученной субъектом МСП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а) деятельность по оказанию социально-бытовых услуг, направленных на поддержание жизнедеятельности в быту;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 xml:space="preserve">б) деятельность по оказанию социально-медицинских услуг, направленных на поддержание и </w:t>
      </w:r>
      <w:r w:rsidRPr="002F6706">
        <w:rPr>
          <w:rFonts w:ascii="Times New Roman" w:hAnsi="Times New Roman" w:cs="Times New Roman"/>
          <w:color w:val="2A2C32"/>
          <w:spacing w:val="3"/>
        </w:rPr>
        <w:lastRenderedPageBreak/>
        <w:t>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г) деятельность по оказанию социально-педагогических услуг, направленных на профилактику отклонений в поведении;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2F6706">
        <w:rPr>
          <w:rFonts w:ascii="Times New Roman" w:hAnsi="Times New Roman" w:cs="Times New Roman"/>
          <w:color w:val="2A2C32"/>
          <w:spacing w:val="3"/>
        </w:rPr>
        <w:t>абилитации</w:t>
      </w:r>
      <w:proofErr w:type="spellEnd"/>
      <w:r w:rsidRPr="002F6706">
        <w:rPr>
          <w:rFonts w:ascii="Times New Roman" w:hAnsi="Times New Roman" w:cs="Times New Roman"/>
          <w:color w:val="2A2C32"/>
          <w:spacing w:val="3"/>
        </w:rPr>
        <w:t>) инвалидов;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з) деятельность по организации отдыха и оздоровления инвалидов и пенсионеров;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и) деятельность по оказанию услуг в сфере дополнительного образования;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  <w:r w:rsidRPr="002F6706">
        <w:rPr>
          <w:rFonts w:ascii="Times New Roman" w:hAnsi="Times New Roman" w:cs="Times New Roman"/>
          <w:color w:val="2A2C32"/>
          <w:spacing w:val="3"/>
        </w:rPr>
        <w:br/>
      </w:r>
      <w:r w:rsidRPr="002F6706">
        <w:rPr>
          <w:rFonts w:ascii="Times New Roman" w:hAnsi="Times New Roman" w:cs="Times New Roman"/>
          <w:color w:val="2A2C32"/>
          <w:spacing w:val="3"/>
        </w:rPr>
        <w:br/>
      </w:r>
      <w:r w:rsidRPr="002F6706">
        <w:rPr>
          <w:rFonts w:ascii="Times New Roman" w:hAnsi="Times New Roman" w:cs="Times New Roman"/>
          <w:b/>
          <w:bCs/>
          <w:color w:val="2A2C32"/>
          <w:spacing w:val="3"/>
        </w:rPr>
        <w:t>Категория 4</w:t>
      </w:r>
      <w:r w:rsidRPr="002F6706">
        <w:rPr>
          <w:rFonts w:ascii="Times New Roman" w:hAnsi="Times New Roman" w:cs="Times New Roman"/>
          <w:color w:val="2A2C32"/>
          <w:spacing w:val="3"/>
        </w:rPr>
        <w:t xml:space="preserve"> - субъект МСП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МСП, а доля полученной субъектом МСП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б) деятельность по организации отдыха и оздоровления детей;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в) деятельность по оказанию услуг в сфере дошкольного образования и общего образования, дополнительного образования детей;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  <w:r w:rsidRPr="002F6706">
        <w:rPr>
          <w:rFonts w:ascii="Times New Roman" w:hAnsi="Times New Roman" w:cs="Times New Roman"/>
          <w:color w:val="2A2C32"/>
          <w:spacing w:val="3"/>
        </w:rPr>
        <w:br/>
        <w:t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процентов.</w:t>
      </w:r>
    </w:p>
    <w:sectPr w:rsidR="00D70939" w:rsidRPr="002F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29"/>
    <w:rsid w:val="002F6706"/>
    <w:rsid w:val="00831F23"/>
    <w:rsid w:val="00CD3929"/>
    <w:rsid w:val="00D7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1E09"/>
  <w15:chartTrackingRefBased/>
  <w15:docId w15:val="{9B2FFDF6-4C69-4157-A2D2-0EB5DFDD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1072</Words>
  <Characters>6112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CPP8</dc:creator>
  <cp:keywords/>
  <dc:description/>
  <cp:lastModifiedBy>cpp1s</cp:lastModifiedBy>
  <cp:revision>3</cp:revision>
  <dcterms:created xsi:type="dcterms:W3CDTF">2021-02-01T11:11:00Z</dcterms:created>
  <dcterms:modified xsi:type="dcterms:W3CDTF">2021-06-15T08:30:00Z</dcterms:modified>
</cp:coreProperties>
</file>