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3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3428"/>
        <w:gridCol w:w="475"/>
        <w:gridCol w:w="612"/>
        <w:gridCol w:w="1917"/>
        <w:gridCol w:w="2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 об установлении публичного сервитута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/>
        </w:trPr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0" w:name="sub_2001"/>
            <w:r>
              <w:rPr>
                <w:rFonts w:ascii="Times New Roman" w:hAnsi="Times New Roman" w:cs="Times New Roman"/>
              </w:rPr>
              <w:t xml:space="preserve">1</w:t>
            </w:r>
            <w:bookmarkEnd w:id="0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Министерство энергетики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pStyle w:val="8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органа, принимающего решение об установлении публичного сервитута)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" w:name="sub_2002"/>
            <w:r>
              <w:rPr>
                <w:rFonts w:ascii="Times New Roman" w:hAnsi="Times New Roman" w:cs="Times New Roman"/>
              </w:rPr>
              <w:t xml:space="preserve">2</w:t>
            </w:r>
            <w:bookmarkEnd w:id="1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представившем ходатайство об установлении публичного серв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итута (далее - заявитель):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2" w:name="sub_2021"/>
            <w:r>
              <w:rPr>
                <w:rFonts w:ascii="Times New Roman" w:hAnsi="Times New Roman" w:cs="Times New Roman"/>
              </w:rPr>
              <w:t xml:space="preserve">2.1</w:t>
            </w:r>
            <w:bookmarkEnd w:id="2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акционерное общество «Газпром»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3" w:name="sub_2022"/>
            <w:r>
              <w:rPr>
                <w:rFonts w:ascii="Times New Roman" w:hAnsi="Times New Roman" w:cs="Times New Roman"/>
              </w:rPr>
              <w:t xml:space="preserve">2.2</w:t>
            </w:r>
            <w:bookmarkEnd w:id="3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4" w:name="sub_2023"/>
            <w:r>
              <w:rPr>
                <w:rFonts w:ascii="Times New Roman" w:hAnsi="Times New Roman" w:cs="Times New Roman"/>
              </w:rPr>
              <w:t xml:space="preserve">2.3</w:t>
            </w:r>
            <w:bookmarkEnd w:id="4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акционерное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5" w:name="sub_2024"/>
            <w:r>
              <w:rPr>
                <w:rFonts w:ascii="Times New Roman" w:hAnsi="Times New Roman" w:cs="Times New Roman"/>
              </w:rPr>
              <w:t xml:space="preserve">2.4</w:t>
            </w:r>
            <w:bookmarkEnd w:id="5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(индекс, субъект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Федерации, населенный пункт, улица, дом)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БОКС 1255, Санкт-Петербург, 200961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6" w:name="sub_2026"/>
            <w:r>
              <w:rPr>
                <w:rFonts w:ascii="Times New Roman" w:hAnsi="Times New Roman" w:cs="Times New Roman"/>
              </w:rPr>
              <w:t xml:space="preserve">2.</w:t>
            </w:r>
            <w:bookmarkEnd w:id="6"/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"mailto:gazprom@gazprom.ru"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47"/>
                <w:rFonts w:ascii="Times New Roman" w:hAnsi="Times New Roman"/>
                <w:color w:val="000000"/>
                <w:szCs w:val="24"/>
              </w:rPr>
              <w:t xml:space="preserve">gazprom@gazprom.ru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tgk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gazprom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7" w:name="sub_2027"/>
            <w:r>
              <w:rPr>
                <w:rFonts w:ascii="Times New Roman" w:hAnsi="Times New Roman" w:cs="Times New Roman"/>
              </w:rPr>
              <w:t xml:space="preserve">2.</w:t>
            </w:r>
            <w:bookmarkEnd w:id="7"/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1027700070518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8" w:name="sub_2028"/>
            <w:r>
              <w:rPr>
                <w:rFonts w:ascii="Times New Roman" w:hAnsi="Times New Roman" w:cs="Times New Roman"/>
              </w:rPr>
              <w:t xml:space="preserve">2.</w:t>
            </w:r>
            <w:bookmarkEnd w:id="8"/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7736050003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9" w:name="sub_2003"/>
            <w:r>
              <w:rPr>
                <w:rFonts w:ascii="Times New Roman" w:hAnsi="Times New Roman" w:cs="Times New Roman"/>
              </w:rPr>
              <w:t xml:space="preserve">3</w:t>
            </w:r>
            <w:bookmarkEnd w:id="9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дставителе заявителя: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0" w:name="sub_2031"/>
            <w:r>
              <w:rPr>
                <w:rFonts w:ascii="Times New Roman" w:hAnsi="Times New Roman" w:cs="Times New Roman"/>
              </w:rPr>
              <w:t xml:space="preserve">3.1</w:t>
            </w:r>
            <w:bookmarkEnd w:id="10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1" w:name="sub_2032"/>
            <w:r>
              <w:rPr>
                <w:rFonts w:ascii="Times New Roman" w:hAnsi="Times New Roman" w:cs="Times New Roman"/>
              </w:rPr>
              <w:t xml:space="preserve">3.2</w:t>
            </w:r>
            <w:bookmarkEnd w:id="11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Solovyev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gazprom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2" w:name="sub_2033"/>
            <w:r>
              <w:rPr>
                <w:rFonts w:ascii="Times New Roman" w:hAnsi="Times New Roman" w:cs="Times New Roman"/>
              </w:rPr>
              <w:t xml:space="preserve">3.3</w:t>
            </w:r>
            <w:bookmarkEnd w:id="12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(812) 729-30-28, (861)213-16-22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3" w:name="sub_2034"/>
            <w:r>
              <w:rPr>
                <w:rFonts w:ascii="Times New Roman" w:hAnsi="Times New Roman" w:cs="Times New Roman"/>
              </w:rPr>
              <w:t xml:space="preserve">3.4</w:t>
            </w:r>
            <w:bookmarkEnd w:id="13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90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мочия представителя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47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Доверенность ПАО «Газпром» от 01.04.2024 № 01/04/04-208д (зарегистрировано в реестре № 78/98-н/78-2024-3-2063, 01.04.2024)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4" w:name="sub_2004"/>
            <w:r>
              <w:rPr>
                <w:rFonts w:ascii="Times New Roman" w:hAnsi="Times New Roman" w:cs="Times New Roman"/>
              </w:rPr>
              <w:t xml:space="preserve">4</w:t>
            </w:r>
            <w:bookmarkEnd w:id="14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установить публичный сервитут в отношении земель и земельных участков в целях эксплуатации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объекта системы газоснабжения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«Магистральный газопровод станица Привольная - станица Ленинградская»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ст. 3.6 Федерального закона от 25 октября 2001 г. № 137-ФЗ «О введении в действие Земельного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одекса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5" w:name="sub_2005"/>
            <w:r>
              <w:rPr>
                <w:rFonts w:ascii="Times New Roman" w:hAnsi="Times New Roman" w:cs="Times New Roman"/>
              </w:rPr>
              <w:t xml:space="preserve">5</w:t>
            </w:r>
            <w:bookmarkEnd w:id="15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Испрашиваемый срок публичного сервитута: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6" w:name="sub_2006"/>
            <w:r>
              <w:rPr>
                <w:rFonts w:ascii="Times New Roman" w:hAnsi="Times New Roman" w:cs="Times New Roman"/>
              </w:rPr>
              <w:t xml:space="preserve">6</w:t>
            </w:r>
            <w:bookmarkEnd w:id="16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55"/>
              <w:jc w:val="both"/>
            </w:pPr>
            <w: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</w:t>
            </w:r>
            <w:r>
              <w:t xml:space="preserve">твии с подпунктом 4 пункта 1 статьи 39 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</w:t>
            </w:r>
            <w:r>
              <w:t xml:space="preserve">)</w:t>
            </w:r>
            <w:r/>
          </w:p>
          <w:p>
            <w:pPr>
              <w:pStyle w:val="836"/>
              <w:ind w:firstLine="0"/>
              <w:widowControl/>
            </w:pPr>
            <w:r>
              <w:t xml:space="preserve">______</w:t>
            </w:r>
            <w:r>
              <w:t xml:space="preserve">__</w:t>
            </w:r>
            <w:r>
              <w:rPr>
                <w:i/>
                <w:u w:val="single"/>
              </w:rPr>
              <w:t xml:space="preserve">-</w:t>
            </w:r>
            <w:r>
              <w:t xml:space="preserve">_______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7" w:name="sub_2007"/>
            <w:r>
              <w:rPr>
                <w:rFonts w:ascii="Times New Roman" w:hAnsi="Times New Roman" w:cs="Times New Roman"/>
              </w:rPr>
              <w:t xml:space="preserve">7</w:t>
            </w:r>
            <w:bookmarkEnd w:id="17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установления публичного сервитута: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использования земельных участков в целях эксплуатации существующего сооружения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«Магистральный газопровод станица Привольная - станица 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градская»,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адастровый номер 23:19:0000000:239 (условный номер 23-23-38/005/2006-434),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 о государственной регистрации права собственности от 28.06.2006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23-АА № 734755, запись о государственной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егистрации права собственности от 27.06.200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23-23-38/005/2006-434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06.05.2015 № 816-р «Об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схемы территориального планирования Российской Федерации в области федерального транспорта (в части трубопроводного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анспорта)».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3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статье 5 Федерального закона от 31.03.1999 № 69-ФЗ «О газоснабжении в Российской Федерации» (далее – Федеральн</w:t>
            </w:r>
            <w:r>
              <w:rPr>
                <w:rFonts w:ascii="Times New Roman" w:hAnsi="Times New Roman"/>
                <w:sz w:val="24"/>
              </w:rPr>
              <w:t xml:space="preserve">ый закон о газоснабжении) Единая система газоснабжения (далее – ЕСГ) входит в состав федеральной системы газоснабжения, котор</w:t>
            </w:r>
            <w:r>
              <w:rPr>
                <w:rFonts w:ascii="Times New Roman" w:hAnsi="Times New Roman"/>
                <w:sz w:val="24"/>
              </w:rPr>
              <w:t xml:space="preserve">ая является одной из федеральных энергетических систем Российской Федерации. В соответствии со статьей 6 Федерального закона </w:t>
            </w:r>
            <w:r>
              <w:rPr>
                <w:rFonts w:ascii="Times New Roman" w:hAnsi="Times New Roman"/>
                <w:sz w:val="24"/>
              </w:rPr>
              <w:t xml:space="preserve">о газо</w:t>
            </w:r>
            <w:r>
              <w:rPr>
                <w:rFonts w:ascii="Times New Roman" w:hAnsi="Times New Roman"/>
                <w:sz w:val="24"/>
              </w:rPr>
              <w:t xml:space="preserve">снабжении «ЕСГ представляет собой имущественный, производственный комплекс, который состоит из технологически, организационно</w:t>
            </w:r>
            <w:r>
              <w:rPr>
                <w:rFonts w:ascii="Times New Roman" w:hAnsi="Times New Roman"/>
                <w:sz w:val="24"/>
              </w:rPr>
              <w:t xml:space="preserve"> и экономически взаимосвязанных и централизованно управляемых производственных и иных объектов, предназначенных для добычи, т</w:t>
            </w:r>
            <w:r>
              <w:rPr>
                <w:rFonts w:ascii="Times New Roman" w:hAnsi="Times New Roman"/>
                <w:sz w:val="24"/>
              </w:rPr>
              <w:t xml:space="preserve">ранспо</w:t>
            </w:r>
            <w:r>
              <w:rPr>
                <w:rFonts w:ascii="Times New Roman" w:hAnsi="Times New Roman"/>
                <w:sz w:val="24"/>
              </w:rPr>
              <w:t xml:space="preserve">ртировки, хранения и поставок газа…». ЕСГ обеспечивает непрерывный цикл поставки газа от скважины до конечного потребителя. П</w:t>
            </w:r>
            <w:r>
              <w:rPr>
                <w:rFonts w:ascii="Times New Roman" w:hAnsi="Times New Roman"/>
                <w:sz w:val="24"/>
              </w:rPr>
              <w:t xml:space="preserve">ри этом входящие в систему элементы самостоятельно функционировать не могут.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6"/>
              <w:ind w:firstLine="3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со статьей 6 Федерального закона от 31</w:t>
            </w:r>
            <w:r>
              <w:rPr>
                <w:rFonts w:ascii="Times New Roman" w:hAnsi="Times New Roman"/>
                <w:sz w:val="24"/>
              </w:rPr>
              <w:t xml:space="preserve">.03.1999 № 69-ФЗ «О газоснабжении в Российской Федерации» (далее – Закон № 69-ФЗ) Единая система газоснабжения (ЕСГ) представ</w:t>
            </w:r>
            <w:r>
              <w:rPr>
                <w:rFonts w:ascii="Times New Roman" w:hAnsi="Times New Roman"/>
                <w:sz w:val="24"/>
              </w:rPr>
              <w:t xml:space="preserve">ляет собой имущественный производственный комплекс, который состоит из технологически, организационно и экономически взаимосв</w:t>
            </w:r>
            <w:r>
              <w:rPr>
                <w:rFonts w:ascii="Times New Roman" w:hAnsi="Times New Roman"/>
                <w:sz w:val="24"/>
              </w:rPr>
              <w:t xml:space="preserve">язанны</w:t>
            </w:r>
            <w:r>
              <w:rPr>
                <w:rFonts w:ascii="Times New Roman" w:hAnsi="Times New Roman"/>
                <w:sz w:val="24"/>
              </w:rPr>
              <w:t xml:space="preserve">х и централизованно управляемых производственных и иных объектов, предназначенных для добычи, транспортировки, хранения и пос</w:t>
            </w:r>
            <w:r>
              <w:rPr>
                <w:rFonts w:ascii="Times New Roman" w:hAnsi="Times New Roman"/>
                <w:sz w:val="24"/>
              </w:rPr>
              <w:t xml:space="preserve">тавок газа, и находится в собственности организации, образованной в установленных гражданским законодательством организационн</w:t>
            </w:r>
            <w:r>
              <w:rPr>
                <w:rFonts w:ascii="Times New Roman" w:hAnsi="Times New Roman"/>
                <w:sz w:val="24"/>
              </w:rPr>
              <w:t xml:space="preserve">о-прав</w:t>
            </w:r>
            <w:r>
              <w:rPr>
                <w:rFonts w:ascii="Times New Roman" w:hAnsi="Times New Roman"/>
                <w:sz w:val="24"/>
              </w:rPr>
              <w:t xml:space="preserve">овой форме и порядке, получившей объекты указанного комплекса в собственность в процессе приватизации либо создавшей или прио</w:t>
            </w:r>
            <w:r>
              <w:rPr>
                <w:rFonts w:ascii="Times New Roman" w:hAnsi="Times New Roman"/>
                <w:sz w:val="24"/>
              </w:rPr>
              <w:t xml:space="preserve">бретшей их на других основаниях, предусмотренных законодательством Российской Федерации.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6"/>
              <w:ind w:firstLine="3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ЕСГ является основной системой газоснабжен</w:t>
            </w:r>
            <w:r>
              <w:rPr>
                <w:rFonts w:ascii="Times New Roman" w:hAnsi="Times New Roman"/>
                <w:sz w:val="24"/>
              </w:rPr>
              <w:t xml:space="preserve">ия в Российской Федерации и ее деятельность регулируется государством в порядке, установленном законодательством Российской Ф</w:t>
            </w:r>
            <w:r>
              <w:rPr>
                <w:rFonts w:ascii="Times New Roman" w:hAnsi="Times New Roman"/>
                <w:sz w:val="24"/>
              </w:rPr>
              <w:t xml:space="preserve">едерации.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6"/>
              <w:ind w:firstLine="3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положениям статьи 5 Закона № 69 – ФЗ, Федеральная система газоснабжения – совокупность действующих на территори</w:t>
            </w:r>
            <w:r>
              <w:rPr>
                <w:rFonts w:ascii="Times New Roman" w:hAnsi="Times New Roman"/>
                <w:sz w:val="24"/>
              </w:rPr>
              <w:t xml:space="preserve">и Российской Федерации систем газоснабжения: Единой системы газоснабжения, региональных систем газоснабжения, газораспределит</w:t>
            </w:r>
            <w:r>
              <w:rPr>
                <w:rFonts w:ascii="Times New Roman" w:hAnsi="Times New Roman"/>
                <w:sz w:val="24"/>
              </w:rPr>
              <w:t xml:space="preserve">ельных систем и независимых организаций. Федеральная система газоснабжения является одной из федеральных энергетических систе</w:t>
            </w:r>
            <w:r>
              <w:rPr>
                <w:rFonts w:ascii="Times New Roman" w:hAnsi="Times New Roman"/>
                <w:sz w:val="24"/>
              </w:rPr>
              <w:t xml:space="preserve">м Росс</w:t>
            </w:r>
            <w:r>
              <w:rPr>
                <w:rFonts w:ascii="Times New Roman" w:hAnsi="Times New Roman"/>
                <w:sz w:val="24"/>
              </w:rPr>
              <w:t xml:space="preserve">ийской Федерации.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6"/>
              <w:ind w:firstLine="3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Положениями статьи 6 Перечня видов объектов федерального значения, подлежащих отображению на схемах террито</w:t>
            </w:r>
            <w:r>
              <w:rPr>
                <w:rFonts w:ascii="Times New Roman" w:hAnsi="Times New Roman"/>
                <w:sz w:val="24"/>
              </w:rPr>
              <w:t xml:space="preserve">риального планирования Российской Федерации, в области федерального транспорта, утвержденного распоряжением</w:t>
            </w:r>
            <w:r>
              <w:rPr>
                <w:rFonts w:ascii="Times New Roman" w:hAnsi="Times New Roman"/>
                <w:sz w:val="24"/>
              </w:rPr>
              <w:t xml:space="preserve"> Правительства Российско</w:t>
            </w:r>
            <w:r>
              <w:rPr>
                <w:rFonts w:ascii="Times New Roman" w:hAnsi="Times New Roman"/>
                <w:sz w:val="24"/>
              </w:rPr>
              <w:t xml:space="preserve">й Федерации от 08.02.2012 № 162 к объектам федерального значения отнесены: магистральные трубопроводы для транспортировки жид</w:t>
            </w:r>
            <w:r>
              <w:rPr>
                <w:rFonts w:ascii="Times New Roman" w:hAnsi="Times New Roman"/>
                <w:sz w:val="24"/>
              </w:rPr>
              <w:t xml:space="preserve">ких и газообразных углеводородов; сети газораспределения, предназначенные для транспортировки природного газа под давлением с</w:t>
            </w:r>
            <w:r>
              <w:rPr>
                <w:rFonts w:ascii="Times New Roman" w:hAnsi="Times New Roman"/>
                <w:sz w:val="24"/>
              </w:rPr>
              <w:t xml:space="preserve">выше 1</w:t>
            </w:r>
            <w:r>
              <w:rPr>
                <w:rFonts w:ascii="Times New Roman" w:hAnsi="Times New Roman"/>
                <w:sz w:val="24"/>
              </w:rPr>
              <w:t xml:space="preserve">,2 Мпа и сжиженного углеводородного газа под давлением: выше 1,6 Мпа.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6"/>
              <w:ind w:firstLine="3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положениям пунктов 7 и 9 статьи 10 Градостроит</w:t>
            </w:r>
            <w:r>
              <w:rPr>
                <w:rFonts w:ascii="Times New Roman" w:hAnsi="Times New Roman"/>
                <w:sz w:val="24"/>
              </w:rPr>
              <w:t xml:space="preserve">ельного кодекса Российской Федерации к схемам территори</w:t>
            </w:r>
            <w:r>
              <w:rPr>
                <w:rFonts w:ascii="Times New Roman" w:hAnsi="Times New Roman"/>
                <w:sz w:val="24"/>
              </w:rPr>
              <w:t xml:space="preserve">ального планирования Российской Федерации прилагаются материалы по их обосно</w:t>
            </w:r>
            <w:r>
              <w:rPr>
                <w:rFonts w:ascii="Times New Roman" w:hAnsi="Times New Roman"/>
                <w:sz w:val="24"/>
              </w:rPr>
              <w:t xml:space="preserve">ванию в текстовой форме и в виде карт. Указанные карты составляются применительно к территории, в отношении которой разрабаты</w:t>
            </w:r>
            <w:r>
              <w:rPr>
                <w:rFonts w:ascii="Times New Roman" w:hAnsi="Times New Roman"/>
                <w:sz w:val="24"/>
              </w:rPr>
              <w:t xml:space="preserve">вается схема территориального планирования Российской Федерации. В свою очередь, материалы по обоснованию схем территориально</w:t>
            </w:r>
            <w:r>
              <w:rPr>
                <w:rFonts w:ascii="Times New Roman" w:hAnsi="Times New Roman"/>
                <w:sz w:val="24"/>
              </w:rPr>
              <w:t xml:space="preserve">го пла</w:t>
            </w:r>
            <w:r>
              <w:rPr>
                <w:rFonts w:ascii="Times New Roman" w:hAnsi="Times New Roman"/>
                <w:sz w:val="24"/>
              </w:rPr>
              <w:t xml:space="preserve">нирования Российской Федерации в виде карт отображают, в числе прочего, местоположение существующих и строящихся объектов фед</w:t>
            </w:r>
            <w:r>
              <w:rPr>
                <w:rFonts w:ascii="Times New Roman" w:hAnsi="Times New Roman"/>
                <w:sz w:val="24"/>
              </w:rPr>
              <w:t xml:space="preserve">ерального значения в соответствующей области.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6"/>
              <w:ind w:firstLine="3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статье 14 Федерального закона о газоснабжении для обеспечения надежного газо</w:t>
            </w:r>
            <w:r>
              <w:rPr>
                <w:rFonts w:ascii="Times New Roman" w:hAnsi="Times New Roman"/>
                <w:sz w:val="24"/>
              </w:rPr>
              <w:t xml:space="preserve">снабжения, безопасного и устойчивого функционирования объектов ЕСГ, связанных общим технологическим режимом добычи, транспорт</w:t>
            </w:r>
            <w:r>
              <w:rPr>
                <w:rFonts w:ascii="Times New Roman" w:hAnsi="Times New Roman"/>
                <w:sz w:val="24"/>
              </w:rPr>
              <w:t xml:space="preserve">ировки и поставок газа, разделение Единой системы газоснабжения не допускается. В состав ЕСГ входят магистральные газопроводы</w:t>
            </w:r>
            <w:r>
              <w:rPr>
                <w:rFonts w:ascii="Times New Roman" w:hAnsi="Times New Roman"/>
                <w:sz w:val="24"/>
              </w:rPr>
              <w:t xml:space="preserve">, комп</w:t>
            </w:r>
            <w:r>
              <w:rPr>
                <w:rFonts w:ascii="Times New Roman" w:hAnsi="Times New Roman"/>
                <w:sz w:val="24"/>
              </w:rPr>
              <w:t xml:space="preserve">рессорные станции, объекты подземного хранения газа, газораспределительные станции и иные объекты. Данные объекты обеспечиваю</w:t>
            </w:r>
            <w:r>
              <w:rPr>
                <w:rFonts w:ascii="Times New Roman" w:hAnsi="Times New Roman"/>
                <w:sz w:val="24"/>
              </w:rPr>
              <w:t xml:space="preserve">т бесперебойное газоснабжение всей территории РФ.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6"/>
              <w:ind w:firstLine="328"/>
            </w:pPr>
            <w:r>
              <w:rPr>
                <w:rFonts w:ascii="Times New Roman" w:hAnsi="Times New Roman"/>
                <w:sz w:val="24"/>
              </w:rPr>
              <w:t xml:space="preserve">На основании изложенного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«Магистральный газопровод станица Привольная - станица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енинградская»,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включая все здания и сооружения, обеспечивающие его эксплуатацию,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является объектом федерального значения и нан</w:t>
            </w:r>
            <w:r>
              <w:rPr>
                <w:rFonts w:ascii="Times New Roman" w:hAnsi="Times New Roman"/>
                <w:sz w:val="24"/>
              </w:rPr>
              <w:t xml:space="preserve">есен на карту существующих объектов федеральн</w:t>
            </w:r>
            <w:r>
              <w:rPr>
                <w:rFonts w:ascii="Times New Roman" w:hAnsi="Times New Roman"/>
                <w:sz w:val="24"/>
              </w:rPr>
              <w:t xml:space="preserve">ого значения в области федерального транспорта (в части трубопроводного транспорта) пр</w:t>
            </w:r>
            <w:r>
              <w:rPr>
                <w:rFonts w:ascii="Times New Roman" w:hAnsi="Times New Roman"/>
                <w:sz w:val="24"/>
              </w:rPr>
              <w:t xml:space="preserve">оекта материалов по обоснованию Схемы территориального планирования Российской Федерации.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8" w:name="sub_2008"/>
            <w:r>
              <w:rPr>
                <w:rFonts w:ascii="Times New Roman" w:hAnsi="Times New Roman" w:cs="Times New Roman"/>
              </w:rPr>
              <w:t xml:space="preserve">8</w:t>
            </w:r>
            <w:bookmarkEnd w:id="18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55"/>
              <w:jc w:val="both"/>
            </w:pPr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</w:t>
            </w:r>
            <w:r>
              <w:t xml:space="preserve">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</w:t>
            </w:r>
            <w:r>
              <w:t xml:space="preserve">вляется правообладателем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</w:t>
            </w:r>
            <w:r>
              <w:t xml:space="preserve">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также если </w:t>
            </w:r>
            <w:r>
              <w:t xml:space="preserve">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линейным объектом, реконструкции, капитального ремонта его участков (частей)</w:t>
            </w:r>
            <w:r/>
          </w:p>
          <w:p>
            <w:pPr>
              <w:pStyle w:val="855"/>
              <w:jc w:val="both"/>
            </w:pPr>
            <w:r>
              <w:t xml:space="preserve">____________</w:t>
            </w:r>
            <w:r>
              <w:rPr>
                <w:u w:val="single"/>
              </w:rPr>
              <w:t xml:space="preserve">отсутствует</w:t>
            </w:r>
            <w:r>
              <w:t xml:space="preserve">__________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/>
        </w:trPr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</w:rPr>
            </w:pPr>
            <w:r/>
            <w:bookmarkStart w:id="19" w:name="sub_2009"/>
            <w:r>
              <w:rPr>
                <w:rFonts w:ascii="Times New Roman" w:hAnsi="Times New Roman" w:cs="Times New Roman"/>
              </w:rPr>
              <w:t xml:space="preserve">9</w:t>
            </w:r>
            <w:bookmarkEnd w:id="19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none" w:color="000000" w:sz="4" w:space="0"/>
            </w:tcBorders>
            <w:tcW w:w="3428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астков (при их наличии), в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шении которых подано ходатайство об установлении публичного сервитута, адреса или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местоположения таких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5954" w:type="dxa"/>
            <w:vAlign w:val="top"/>
            <w:textDirection w:val="lrTb"/>
            <w:noWrap w:val="false"/>
          </w:tcPr>
          <w:tbl>
            <w:tblPr>
              <w:tblW w:w="5757" w:type="dxa"/>
              <w:tblInd w:w="9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387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23:11:0000000:6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р-н Каневской, автодорога "ст-ца Каневская - ст-ца 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ерезанская"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23:11:0000000:14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р-н, автодорога "ст-ца Каневская - х.Большие Челбасы - х.Мигуты"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23:11:0000000:21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Стародеревянковское, в границах ЗАО 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81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кий край,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Каневской р-н, магистральный газопровод Привольная-Ленинградская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23:11:0000000:52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Каневский р-н, газопровод-отвод к ст-це Новоминская и АГРС ст-це Новоминская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23:11:0000000:53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р-н, магистральн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ый газопровод Бейсуг-Привольная (с 34,68 по 53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,942 км)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47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23:11:0000000:62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в границах ЗАО "Агрофирма-племзавод "Победа"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23:11:0000000:65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в границах ЗАО ПЗ "Колос"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23:11:0000000:70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дарский край, Каневский р-н, газопровод-отвод к ст-це Стародеревянковская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23:11:0000000:82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р-н, с/п Стародеревянковское, в границах ЗАО 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23:11:0000000:89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23:11:0000000:91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одарс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кий край, Каневский р-н, Каневско-Лебяжье газовое месторождение открытого акционерного общества "Газпром"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23:11:0000000:208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автодорога "ст-ца Каневская - ст-ца Бриньковская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п. Приморский"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23:11:0000000:209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дарски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й край, р-н Каневской, автодорога "ст-ца Каневская - ст-ца Бриньковская- п. Приморский"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23:11:0000000:212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Каневское, автодорога "Западный обход станицы Каневской"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23:11:0000000:1135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23:11:0000000:1159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23:11:0000000:1234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57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23:11:0000000:1723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Российская Федерация, в границах када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стрового квартала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80"/>
              </w:trPr>
              <w:tc>
                <w:tcPr>
                  <w:tcW w:w="188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23:11:0000000:1819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</w:p>
              </w:tc>
              <w:tc>
                <w:tcPr>
                  <w:tcW w:w="387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район, с/п Каневское, в границах ЗАОПЗ "Колос"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8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Каневской, с/п Стародеревянковское, расположен в северной части границ землепользования ЗАО "Россия" , в 2.4 км к западу от х.Мигуты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между автодорогой "Каневская-Ленинградская" и рекой Мигута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23:11:0311000:18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й, р-н Каневской,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автодорога "Подъезд к п. Красногвардеец"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23:11:0311000:133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Каневской, с/п Стародеревянковское, в границах ЗАО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:478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 , р-н Каневский, с/п Стародеревянковское, расположен в границах закрытого акц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ионерного общества "Россия", в 2.5 км к северо-западу от хутора Мигуты, участок №4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аснодарский край, р-н Каневской, с/п Стародеревянковское, ЗАО 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ЗАО 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Стародеревянковское, расположен в плане границ земель закрыто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 акционерного общества "Россия", северо-западнее хутора Мигуты на расстоянии 3,6 км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23:11:0311002:27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Каневской,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ЗАО 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Стародеревянковское, расположен в плане границ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 закрытого акционерного общества 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23:11:0311002:33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Стародеревянковское, в границах ЗАО "Россия", участок 2, секция 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23:11:0311002:39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Стародеревянковское, в грани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цах ЗАО 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Каневский, с/пос Стародеревянковское, расположен в плане границ земель закрытого акционерного общества "Россия" северо-западнее хутора Мигуты на расстоянии 3,8 км.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рай, р-н Каневс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кой, ЗАО 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Стародеревянковское, расположен в плане границ земель закрытого акционерного общества "Россия", на расстоянии 2,5км северо-западнее хутора Мигуты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8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23:11:0311002:52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Краснодарский, р-н Каневский, 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/п Стародеревянковское, расположен в плане границ земель закрытого акционерного общества "Россия", северо-западнее хутора Мигуты на расстоянии 3,6 км, участок №1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8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23:11:0311002:53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родеревянковское, расположен в плане грани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 земель закрытого акционерного общества "Россия", северо-западнее хутора Мигуты на расстоянии 3,5 км, участок №2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8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23:11:0311002:54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тародеревянковское, расположен в плане гра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ниц земель закрытого акционерного общества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"Россия", северо-западнее хутора Мигуты на расстоянии 3,5 км, участок №3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8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23:11:0311002:56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Каневский, с/п Стародеревянковское, расположен в плане 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раниц земель закрытого акционерного общест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 "Россия", северо-западнее хутора Мигуты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расстоянии 3,2 км, участок №5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23:11:0311002:65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Стародеревянковское, в границах ОАО "Россия", на расстоянии 8,6 км. северо-восточ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нее ст-ца Стародеревянковская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02:66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Стародеревянковское, ЗАО "Россия", северо-восточнее станицы Стародеревянковской на расстоянии 8,8 км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23:11:0311002:67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Стародеревянковское, расположен в плане границ земель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закрытого акционерного общества "Россия", северо-западнее хутора Мигуты на расстоянии 3,6 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23:11:0311002:72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Стародеревянк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овское, в границах ЗАО "Россия", участок 2, секция 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23:11:0311002:73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-н Каневский, с/п Ста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родеревянковское, в границах ЗАО "Россия", участок 2, секция 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23:11:0311002:85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Каневский район, Стародеревянковское сельс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кое поселение, в границах землепользования ОАО "Россия" секция 5, контур 114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Стародеревянковское,  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границах земельного участка ОАО "Россия", в 3.9 км северо-западнее от центра хутора Мигуты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23:11:0311002:407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район, с/п Стародеревянковское, в границах ЗАО 'Ро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ссия', участок 1, секция 4, контур 601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23:11:0311002:410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ЗАО 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23:11:0311002:411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ЗАО "Россия"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23:11:0311002:416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Стародеревянковское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с/п, в гр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аницах ЗАО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Россия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8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23:11:0311004:85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Стародеревянковское, в границах ЗАО "Россия",в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земельном участке с кадастровым номером 23:11:0000000:0022 обособленный участок № 60, в отделении №1 "ЗАО "Россия", поле № 15(бывшее 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оле 11,1), секция 8, контур 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8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23:11:0311004:109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Каневский район, Стародеревянковское сельское посел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ение, в плане границ ЗАО "Россия", поле 15 (бывшее поле 11.1),  отделение № 1 ЗАО "Россия", секция 8, контур 50, центральная часть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11:0311004:110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 Каневский район,  Стародеревянковское с/п, в границах ЗАО "Россия", секция 8, контур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23:11:0311004:111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 Каневский район,  Стародеревянковское с/п, в границах ЗАО "Россия", секция 8, контур 49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11:0311004:121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Стародеревянковское, в границах ЗАО "Россия", секция 8,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контур 50 (северная часть)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23:11:0403000:142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 Каневский район, Красногвардейское с/п,  в границах ЗАО "Красногвардеец"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:0403000:184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Каневский, с/пос Красногвардейское,  ЗАО"Красногвардеец", секция 3,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поле №3.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23:11:0504000:1202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Привольненское, в границах ЗАО "Племзавод "Привольное", секция 11, контур 239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1:0504000:1462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Привольненское, секция 11, контур 193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23:11:0504000:1554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район, Привольненское сельское поселение, в границах ЗАО ПЗ "Привольное", секция 14 контур 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23:11:0504000:1883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23:11:0504000:2291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район, с/п Привольненское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23:11:0504004:4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Привольненское, расположен в плане границ закрытого акционерного общества "Холдинговой ко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мпании племзавода "Привольное"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23:11:0504004:5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Привольненское, расположен в плане границ закрытого акционерного общества "Холдинговой компании племзавода "Привольное"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23:11:0504004:10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ой, Привольненское с/п, в грани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ах ЗАО ПЗ "Привольное"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23:11:0602000:63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23:11:0602000:65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23:11:0602000:72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Каневское расположен юго-восточнее хут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ора Орджоникидзе на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расстоянии 2.9 км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23:11:0602000:281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Каневской, газопровод-отвод к колхозу им. Калинина (ЗАО ПЗ "Колос")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23:11:0602000:427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в границах ЗАО ПЗ "Колос" секция 5, контур 130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1:0602000:432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Каневский, в границах ЗАО ПЗ "Колос" секция 3, контур 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23:11:0602000:433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в границах ЗАО ПЗ "Колос" секция 3, контур 54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23:11:0602000:493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Каневский, в 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цах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ЗАО ПЗ "Колос" секция 3, контур 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23:11:0602000:495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Каневский, в границах ЗАО ПЗ "Колос" секция 3, контур 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23:11:0602000:497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в границах ЗАО ПЗ "Колос" секция 1, контур 37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0:49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в границах ЗАО ПЗ "Колос" секция 1, контур 33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23:11:0602000:542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в границах ЗАО ПЗ "Колос" секция 5, контур 92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23:11:0602000:548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границах ЗАО ПЗ 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Колос" секция 5,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контур 97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23:11:0602000:549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Каневский, в границах ЗАО ПЗ "Колос" секция 5, контур 104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23:11:0602000:552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Каневский, в границах ЗАО ПЗ "Колос" секция 5, контур 117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2000:975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рский кр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ай, Каневской район, в границах ЗАО ПЗ "Колос", секция 20, контур 131, 151, 241, 271, 291, 33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23:11:0602000:976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район, в границах ЗАО ПЗ "Колос", секция 20 контура 131, 151, 241, 271, 291, 33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23:11:0602000:994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дарски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й край, р-н Каневской, в границах плана ЗАО ПЗ «Колос», секция 5 контур 52, секция 5 контур 57, секция 5 контур 86, секция 5 контур 92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23:11:0602000:996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23:11:0602000:1092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Каневское сельское поселение, расположен западн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ее станицы Каневской на расстоянии 1.3 км.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23:11:0602000:1144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Каневской, с/п. Каневское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23:11:0602000:1154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Каневской, с/п.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Каневское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23:11:0602000:1156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Каневской, с/п. Каневское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23:11:0602000:1160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в границах ЗАО ПЗ "Колос"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23:11:0602000:1168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23:11:0602000:1174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снодарский край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р-н. Каневской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23:11:0602000:1514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район, в границах ЗАО ПЗ "Колос"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23:11:0602000:1518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Каневское, Российская Федерация, в границах кадастрового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квартала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р-н, в границах ЗАО ПЗ "Колос"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23:11:0602000:15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р-н, в границах ЗАО ПЗ "Колос"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23:11:0602009:1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район Краснодарский, р-н Каневской, с/п Каневское,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границах ЗАО ПЗ "Колос", южнее садоводче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ского товарищества "Зори Кубани"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8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23:11:0602010:4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Каневское, расположен в плане границ закрытого акционерного общества племзавода "Колос", южнее садоводческого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товарищества "Зори Кубани" на расстоянии 1.2 км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87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02010:5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с/п Каневское, расположен в границах земель закрытого акционерного общества племзавода "Колос", южнее садоводческого товарищества " Зори Кубани" на расстоян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ии 1.6 км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23:11:0602010:7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кий, с/п Каневское, расположен в плане границ закрытого акционерного общества племзавода "Колос"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23:11:0602013:1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23:11:0603350:17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Каневское, ст-ца Каневская, между улицами Свобод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ная, Высоцкого, Есенина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23:11:0607000:611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Каневский, в границах ЗАО "Агрофирма-племзавод "Победа"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23:11:0607000:630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Каневской район, в границах земель ЗАО ПЗ "Победа", отделение 5 поле 1/9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23:11:0607000:945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раснодарский край, р-н Каневский, с/п Каневское,  в границах ЗАО "Агрофирма-племзавод "Победа", секция 15, контур 26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23:11:0607000:952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Каневский, с/п Каневское,  в границах ЗАО "Агрофирма-племзавод "Победа", секция 19, контур 78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3:11:0607000:996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 в границах ЗАО "Агрофирма-племзавод "Победа", секция 8, контур 67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54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23:11:0607000:28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Каневское, в границах земель ЗАО "Агрофирма-племзавод "Победа", секция 2, конт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 81, секция2, контур 85, секция 2, контур 106, секция 2, контур 112, секция 2, контур 118, секция 2, контур 124, секция 2, контур 130,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секция 2, контур 147, секция 2, контур 151, секция 2, контур 160, секция 2, контур 164, секция 2, контур 170, секция 2,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контур 175, секция 2, контур 182, секция 2, контур 187,секция 2, контур 208, секция 2, контур 209, секция 2, контур 210, секция 2,конту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 224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23:11:0607000:2892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23:11:0607000:2893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Каневской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11:0608001:10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район, с/п Каневское, расположен южнее станицы Каневской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23:11:0608001:85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Каневской, с/п Каневское, вдоль автодороги "Западный обход ст-цы Каневская" слева (от проезда на свалку до танка)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Ленинградский, Староминской дистанции пути №25 Краснодарского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отделения Северо-Кавказской железной дороги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315"/>
              </w:trPr>
              <w:tc>
                <w:tcPr>
                  <w:tcW w:w="188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Автодорога "Стародеревянковская-Ленинградская-Кисляковская"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район, Автодорога: "Подъезд к п.Уманский"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Автодорога: "Ленинградская-Восточный-Белый".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23:19:0000000:74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район Ленинградский, в границах ЗАО ПЗ "Колос" ( секция 0, контур 1812), ЗАО "Куликовское" ( секция 6, контур 9,11; секция 2, кон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тур 1)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8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23:19:0000000:79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в границах земель ЗАО ПЗ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"Колос" (секция 0, контур 1812), колхоз им. "Ленина" (секция 120, контур 1), ЗАО "Вторая Пятилетка" (секция 19, контур 5)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23:19:0000000:208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енинградский,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23:19:0000000:583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23:19:0000000:586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23:19:0000000:804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23:19:0000000:834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23:19:0000000:835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23:19:0000000:875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23:19:0000000:910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8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23:19:0103000:3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р-н, с/п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Ленинградское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23:19:0103000:150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ст-ца Ленинградская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23:19:0103000:152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ст-ца Ленинградская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23:19:0103000:179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23:19:0103000:188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23:19:0103000:190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23:19:0103000:515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район, станица Ленинградская, улица Лагерная, 2К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23:19:0104000:2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ЗАО племзавод "Колос" участок 0,секция 0, контур 1801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23:19:0104000:860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23:19:0104000:862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23:19:0104000:923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03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23:19:0105000:15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ский край, Ленинградский район, колхоз имени "Ленина", секция 3 контура 23,27,32,36,41,52,58,68,72,90; секция 7 контур 24; секция 8 контур 16; секция 9 контура 1, 4,6,9,14,17,21,25,28,44,47; секция 10 контура 1,6,1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8,99,102,111,115,120; секция 11 контура 1,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5,9,13,16,19,25,31,36,40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6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23:19:0105000:345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колхоз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Ленинградский, тер. в границах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7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23:19:0105000:382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дский,  колхоз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2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23:19:0105000:397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колхоз имени "Ленина", участок 1, секция 10, контуры 22,23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23:19:0105000:401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Ленинградский, колхоз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23:19:0105000:689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нодарский, р-н Ленинградский, колхоз имени "Ленина", участок 0, секция 120, контур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23:19:0105000:695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23:19:0105000:696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23:19:0105000:707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й, в границах к-за "Ленина", участок 1 секция 10, контур 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23:19:0105000:711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участок 0, секция 100, контур 102, в границах колхоза им.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23:19:0105000:730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731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23:19:0105000:806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с/п Ленинградское, в границах колхоза имени "Ленина", участок 0,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секция 100, контур 18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315"/>
              </w:trPr>
              <w:tc>
                <w:tcPr>
                  <w:tcW w:w="188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23:19:0105000:817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с/п Ленинградский, в границах колхоза им. "Ленина", участок 1, секция 3, контур 86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23:19:0105000:824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район, колхоз 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мени "Ленина", участок 0, секция 800, контур 16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23:19:0105000:836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с/п Ленинградское,  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границах колхоза имени "Ленина", участок 0, секция 100, контур 99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23:19:0105000:916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район,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границах колхоза имени «Ленина», участок 1, секция 10, контур 96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23:19:0105000:919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Ленинградский район, в границах колхоза имени «Ленина», участок 1, секция 10, контур 94, 95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23:19:0105000:1088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/п Ленинградское, в границах колхоза им. "Ленина", участок 0, секция 100, контур 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23:19:0105000:1093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раснодарский край, Ленинградский район, в границах колхоза им. Ленина, участок 0, секция 0, контур 43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23:19:0105000:1100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кий район, в границах земель колхоза им. Ленина (секция 120, контур 1)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23:19:0105000:2640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край, р-н Ленинградский, в границах ЗАО ПЗ « Колос» участок 1, секция 23, контур 36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23:19:0105000:2644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с/п Лени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нградское, ст-ца  Ленинградская, ул. Горького, 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19:0105000:2809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:2834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23:19:0105000:2845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23:19:0105000:2852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23:19:0105000:2854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:2856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23:19:0105000:2858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23:19:0105000:2868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Ленинградский,  в границах земель колхоза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23:19:0105000:3298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23:19:0105000:3305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23:19:0105000:3331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23:19:0105000:3332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23:19:0105000:3333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23:19:0105000:3339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23:19:0105000:3357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23:19:0105000:3358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:0105000:3396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315"/>
              </w:trPr>
              <w:tc>
                <w:tcPr>
                  <w:tcW w:w="188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23:19:0105000:3399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23:19:0105000:3406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23:19:0105000:3407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Ленинградский, тер. колхоз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23:19:0105000:3408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й, тер. колхоз имени "Ленина"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23:19:0105000:3409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23:19:0105000:3426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23:19:0105000:3437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Ленинградский, с/п. Ленинградское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23:19:0105000:3441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315"/>
              </w:trPr>
              <w:tc>
                <w:tcPr>
                  <w:tcW w:w="188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23:19:0105000:3821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Российская Федерация, Краснодарский край, Ленинградский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23:19:0105000:3824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ский р-н, в границах колхоза "им. Ленина", участок 0,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екция 100, контур 111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23:19:0105008:5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Ленинградский, в границах колхоза имени "Ленина", участок 0,секция 10, контур 107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23:19:1001000:57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ЗАО "Уманское", отделение 2, поля №1/110; 1/15011; 1/150; 1/15001; 1/490; 1/491; 1/440/2 ;1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/47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23:19:1001000:65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ЗАО "Уманское", участок 1, секция 1, контур 200, 230, 260, 300, 320/1, 380/1.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23:19:1001000:119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ай Краснодарский, р-н Ленинградский, в границах ЗАО "Уманское",секция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1, контур 440/1.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8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23:19:1001000:134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 ЗАО "Уманское", участок 1, секция 4, контур 270,220/1,220/2,180; участок 1, секция 1, контур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1650,1640,17000,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1700,1750,1570,680/1,561/1,561/2,511,440/1,180; участок 1, секция 3, контур 18001,36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23:19:1001000:268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в границах ЗАО "Уманское", участок 0, секция 100, контур 44001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23:19:1001000:371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рай, р-н Ленингр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адский, с/п Уманское, в границах ЗАО "Уманское", участок 0, секция 100, контур 200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23:19:1001000:372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с/п Уманское, в границах ЗАО "Уманское", участок 0, секция 100, контур 230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23:19:1001000:374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-н Ленинградский, с/п Уманское, в границах ЗАО "Уманское", участок 0, секция 100, контур 300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23:19:1001000:375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с/п Уманское, в границах ЗАО "Уманское", участок 0, секция 100, 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онтур 260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23:19:1001000:441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23:19:1001000:447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23:19:1001000:866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Ленинградский, с/п Уманское, в границах ЗАО «Уманское», участок 0, секция 100, контур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23:19:1101000:25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нинградский район, ЗАО "Вторая Пятилетка" ,участок 0, секция 0, контур 95, скважина №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2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23:19:1101000:87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Ленинградский, ЗАО "Вторая Пятилетка", отделение №2  поле №1,2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03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23:19:1101000:118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 Ленинградский, в 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раницах ЗАО "Вторая Пятилетка",  секция 3, контур 59,53;секция 5, контур 1,5,11,15,20,30,35,40,45,50,55,57,61,65,67; секция 6,контур 27,31; секция 8, контур 1,4,7,14,17,22,26; контур 10,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контур 31,36,14; секция 12, контур 9; секция 15, контур 65,61,55,57,1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4; секция,18 контур 25,19,14,1,8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23:19:1101000:203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край,р-н Ленинградский,ЗАО "Вторая Пятилетка" секция 19,контур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23:19:1101000:240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Ленинградск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ий, в границах ЗАО "Вторая Пятилетка", участок № 1-156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:420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край Краснодарский, р-н Ленинградский, в границах ЗАО "Вторая Пятилетка" (секция 19, контур 5)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23:19:1101000:955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23:19:1101000:956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23:19:1101000:957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23:19:1101000:958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23:19:1101000:963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23:19:1101000:965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р-н. Ленинградский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03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23:19:1101000:1377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район,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границах ЗАО "Вторая Пятилетка", секция 3, контур 59,53;секция 5, контур 1,5,11,15,20,30,35,40,45,50,55,57,61,65,67; секция 6,контур 27,31; секция 8, конт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 1,4,7,14,17,22,26; контур 10, контур 31,36,14; секция 12, контур 9; секция 15, контур 65,61,55,57,1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4; секция,18 контур 25,19,14,1,8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03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23:19:1101000:1378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район, в границах ЗАО "Вторая Пятилетка", секция 3, контур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59,53;секция 5, контур 1,5,11,15,20,30,35,40,45,50,55,57,61,65,67; секция 6,контур 27,31; секция 8, контур 1,4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,7,14,17,22,26; контур 10, контур 31,36,14; секция 12, контур 9; секция 15, контур 65,61,55,57,14; секция,18 контур 25,19,14,1,8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035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23:19:1101000:13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район, в границах ЗАО "Вторая Пятилетка", секция 3, контур 59,53;секция 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контур 1,5,11,15,20,30,35,40,45,50,55,57,61,65,67; секция 6,контур 27,31; секция 8, контур 1,4,7,14,17,22,26; контур 10, контур 31,36,14; секция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12, контур 9; секция 15, контур 65,61,55,57,14; секция,18 контур 25,19,14,1,8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07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0311000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ай,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70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0311002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07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23:11:031100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69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23:11:0403000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23:11:0504000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23:11:0504004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й,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23:11:0602009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23:11:0602010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23:11:0603350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23:11:0607000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23:11:0607001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23:11:0608001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Каневской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23:19:0103000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23:19:0104000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рай, Ленинградский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23:19:0104001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23:19:0105009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23:19:1001000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73"/>
              </w:trPr>
              <w:tc>
                <w:tcPr>
                  <w:tcW w:w="1883" w:type="dxa"/>
                  <w:vAlign w:val="center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23:19:1101005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874" w:type="dxa"/>
                  <w:vAlign w:val="top"/>
                  <w:textDirection w:val="lrTb"/>
                  <w:noWrap w:val="false"/>
                </w:tcPr>
                <w:p>
                  <w:pPr>
                    <w:pStyle w:val="83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Краснодарский край, Ленинградски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й район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836"/>
              <w:ind w:left="-108" w:firstLine="0"/>
              <w:tabs>
                <w:tab w:val="left" w:pos="8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55"/>
              <w:jc w:val="both"/>
            </w:pPr>
            <w:r>
              <w:t xml:space="preserve">Право, на котором инженерное сооружение принадлежит заявителю (если п</w:t>
            </w:r>
            <w:r>
              <w:t xml:space="preserve">одано 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участка (части) инженерного сооружения, являющегося линейным объектом)</w:t>
            </w:r>
            <w:r>
              <w:t xml:space="preserve"> </w:t>
            </w:r>
            <w:r>
              <w:t xml:space="preserve">(предоставление правоустанавливающих документов на линейный объект не требуется в случае, если ходатайство об установлении публичного сервитута подано в соответствии со статьей 3.9 Федерального закона от 25 октября 2001 г. </w:t>
            </w:r>
            <w:r>
              <w:t xml:space="preserve">№</w:t>
            </w:r>
            <w:r>
              <w:t xml:space="preserve"> 137-ФЗ </w:t>
            </w:r>
            <w:r>
              <w:t xml:space="preserve">«</w:t>
            </w:r>
            <w:r>
              <w:t xml:space="preserve">О введении в действие Земельного кодекса Российской Федерации</w:t>
            </w:r>
            <w:r>
              <w:t xml:space="preserve">»</w:t>
            </w:r>
            <w:r>
              <w:t xml:space="preserve">)</w:t>
            </w:r>
            <w:r>
              <w:t xml:space="preserve">: с</w:t>
            </w:r>
            <w:r>
              <w:t xml:space="preserve">обственность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 представления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льтатов рассмотрения ходатайства: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6432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ектронного документа, который направляется уполномоченным органом заявителю посредством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(да/нет)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6432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бумажного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заявитель получает непосредственно при личном обращении или посредство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почтового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0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(да/нет)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3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ходатайству: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енность ПАО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азпром» от 01.04.2024 № 01/0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4/04-208д (зарегистрировано в реестре № 78/98-н/78-2024-3-2063,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.04.2024) (1 экз., копия, 4 листа).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границ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убличного сервитута в формате PDF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Схема расположения границ публичног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сервитута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формате PDF в полноцветном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ежиме с разрешением не менее 300 dpi в масштабе, обеспечивающе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таемость местоположения характерных точек (1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Описание границ публичного сервитута, содержащего координаты характерных точек 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публичного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сервитута, в виде файла 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рмате XML, созданного с использованием XML-схем, обеспечивающи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тывание и контроль представленных данных (1 экз.,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тронный документ).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Свидетельство о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23-АА № 734755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экз., 1 лист).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1"/>
              <w:ind w:left="60"/>
              <w:jc w:val="both"/>
              <w:spacing w:after="0" w:line="240" w:lineRule="auto"/>
              <w:tabs>
                <w:tab w:val="left" w:pos="47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Перечень земельных участков, в отношении которых устанавливается публичный сервитут (1 экз.,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согласие на обработку персональных данных (сбор, систематизацию, накопление, хранение,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точнение (обновление, изменение), использование, распространение (в том числе передачу), обезличивание,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ирование, уничтожение персональных данных, а также иных действий, необходимых для обработки персональных данных в соответствии с законодательством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Федерации), в том числе в автоматизированном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9382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сведения, указанные в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тоящем ходатайстве, на дату представления ходатайства достоверны; документы (копии документов) и содержащиеся в них сведения соответствуют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ям, установленным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"http://garant/document?id=12024624&amp;sub=39410"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43"/>
                <w:rFonts w:ascii="Times New Roman" w:hAnsi="Times New Roman"/>
                <w:color w:val="000000"/>
                <w:sz w:val="24"/>
                <w:szCs w:val="24"/>
              </w:rPr>
              <w:t xml:space="preserve">статьей 39.41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4515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Подпись: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67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1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4515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6"/>
              <w:ind w:firstLine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</w:t>
            </w:r>
            <w:r>
              <w:rPr>
                <w:rFonts w:ascii="Times New Roman" w:hAnsi="Times New Roman"/>
                <w:sz w:val="24"/>
              </w:rPr>
              <w:t xml:space="preserve">_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А.С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.Харламов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</w:r>
          </w:p>
          <w:p>
            <w:pPr>
              <w:pStyle w:val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(подпись)                   (инициалы, фамилия)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6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«__»_______</w:t>
            </w:r>
            <w:r>
              <w:rPr>
                <w:rFonts w:ascii="Times New Roman" w:hAnsi="Times New Roman"/>
                <w:sz w:val="24"/>
              </w:rPr>
              <w:t xml:space="preserve">___</w:t>
            </w: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  <w:t xml:space="preserve">025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1900" w:h="16800" w:orient="portrait"/>
      <w:pgMar w:top="851" w:right="800" w:bottom="1440" w:left="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4259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ind w:firstLine="720"/>
      <w:jc w:val="both"/>
      <w:widowControl w:val="off"/>
    </w:pPr>
    <w:rPr>
      <w:rFonts w:ascii="Arial" w:hAnsi="Arial" w:cs="Arial"/>
      <w:sz w:val="26"/>
      <w:szCs w:val="26"/>
      <w:lang w:val="ru-RU" w:eastAsia="ru-RU" w:bidi="ar-SA"/>
    </w:rPr>
  </w:style>
  <w:style w:type="paragraph" w:styleId="837">
    <w:name w:val="Заголовок 1"/>
    <w:basedOn w:val="836"/>
    <w:next w:val="836"/>
    <w:link w:val="841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38">
    <w:name w:val="Основной шрифт абзаца"/>
    <w:next w:val="838"/>
    <w:link w:val="836"/>
    <w:uiPriority w:val="1"/>
    <w:semiHidden/>
    <w:unhideWhenUsed/>
  </w:style>
  <w:style w:type="table" w:styleId="839">
    <w:name w:val="Обычная таблица"/>
    <w:next w:val="839"/>
    <w:link w:val="836"/>
    <w:uiPriority w:val="99"/>
    <w:semiHidden/>
    <w:unhideWhenUsed/>
    <w:tblPr/>
  </w:style>
  <w:style w:type="numbering" w:styleId="840">
    <w:name w:val="Нет списка"/>
    <w:next w:val="840"/>
    <w:link w:val="836"/>
    <w:uiPriority w:val="99"/>
    <w:semiHidden/>
    <w:unhideWhenUsed/>
  </w:style>
  <w:style w:type="character" w:styleId="841">
    <w:name w:val="Заголовок 1 Знак"/>
    <w:next w:val="841"/>
    <w:link w:val="837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42">
    <w:name w:val="Цветовое выделение"/>
    <w:next w:val="842"/>
    <w:link w:val="836"/>
    <w:uiPriority w:val="99"/>
    <w:rPr>
      <w:b/>
      <w:color w:val="26282f"/>
    </w:rPr>
  </w:style>
  <w:style w:type="character" w:styleId="843">
    <w:name w:val="Гипертекстовая ссылка"/>
    <w:next w:val="843"/>
    <w:link w:val="836"/>
    <w:uiPriority w:val="99"/>
    <w:rPr>
      <w:rFonts w:cs="Times New Roman"/>
      <w:color w:val="106bbe"/>
    </w:rPr>
  </w:style>
  <w:style w:type="paragraph" w:styleId="844">
    <w:name w:val="Нормальный (таблица)"/>
    <w:basedOn w:val="836"/>
    <w:next w:val="836"/>
    <w:link w:val="836"/>
    <w:uiPriority w:val="99"/>
    <w:pPr>
      <w:ind w:firstLine="0"/>
    </w:pPr>
  </w:style>
  <w:style w:type="paragraph" w:styleId="845">
    <w:name w:val="Прижатый влево"/>
    <w:basedOn w:val="836"/>
    <w:next w:val="836"/>
    <w:link w:val="836"/>
    <w:uiPriority w:val="99"/>
    <w:pPr>
      <w:ind w:firstLine="0"/>
      <w:jc w:val="left"/>
    </w:pPr>
  </w:style>
  <w:style w:type="character" w:styleId="846">
    <w:name w:val="Цветовое выделение для Текст"/>
    <w:next w:val="846"/>
    <w:link w:val="836"/>
    <w:uiPriority w:val="99"/>
    <w:rPr>
      <w:sz w:val="26"/>
    </w:rPr>
  </w:style>
  <w:style w:type="character" w:styleId="847">
    <w:name w:val="Гиперссылка"/>
    <w:next w:val="847"/>
    <w:link w:val="836"/>
    <w:uiPriority w:val="99"/>
    <w:unhideWhenUsed/>
    <w:rPr>
      <w:rFonts w:cs="Times New Roman"/>
      <w:color w:val="1b86c0"/>
      <w:sz w:val="24"/>
      <w:u w:val="none"/>
    </w:rPr>
  </w:style>
  <w:style w:type="paragraph" w:styleId="848">
    <w:name w:val="Текст выноски"/>
    <w:basedOn w:val="836"/>
    <w:next w:val="848"/>
    <w:link w:val="84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9">
    <w:name w:val="Текст выноски Знак"/>
    <w:next w:val="849"/>
    <w:link w:val="848"/>
    <w:uiPriority w:val="99"/>
    <w:semiHidden/>
    <w:rPr>
      <w:rFonts w:ascii="Segoe UI" w:hAnsi="Segoe UI" w:cs="Segoe UI"/>
      <w:sz w:val="18"/>
      <w:szCs w:val="18"/>
    </w:rPr>
  </w:style>
  <w:style w:type="paragraph" w:styleId="850">
    <w:name w:val="ConsPlusTitle"/>
    <w:next w:val="850"/>
    <w:link w:val="836"/>
    <w:uiPriority w:val="99"/>
    <w:pPr>
      <w:widowControl w:val="off"/>
    </w:pPr>
    <w:rPr>
      <w:rFonts w:cs="Calibri"/>
      <w:b/>
      <w:bCs/>
      <w:sz w:val="22"/>
      <w:szCs w:val="22"/>
      <w:lang w:val="ru-RU" w:eastAsia="ru-RU" w:bidi="ar-SA"/>
    </w:rPr>
  </w:style>
  <w:style w:type="paragraph" w:styleId="851">
    <w:name w:val="Абзац списка"/>
    <w:basedOn w:val="836"/>
    <w:next w:val="851"/>
    <w:link w:val="836"/>
    <w:uiPriority w:val="34"/>
    <w:qFormat/>
    <w:pPr>
      <w:contextualSpacing/>
      <w:ind w:left="720" w:firstLine="0"/>
      <w:jc w:val="left"/>
      <w:spacing w:after="200" w:line="276" w:lineRule="auto"/>
      <w:widowControl/>
    </w:pPr>
    <w:rPr>
      <w:rFonts w:ascii="Calibri" w:hAnsi="Calibri" w:cs="Times New Roman"/>
      <w:sz w:val="22"/>
      <w:szCs w:val="22"/>
    </w:rPr>
  </w:style>
  <w:style w:type="character" w:styleId="852" w:default="1">
    <w:name w:val="Default Paragraph Font"/>
    <w:uiPriority w:val="1"/>
    <w:semiHidden/>
    <w:unhideWhenUsed/>
  </w:style>
  <w:style w:type="numbering" w:styleId="853" w:default="1">
    <w:name w:val="No List"/>
    <w:uiPriority w:val="99"/>
    <w:semiHidden/>
    <w:unhideWhenUsed/>
  </w:style>
  <w:style w:type="table" w:styleId="854" w:default="1">
    <w:name w:val="Normal Table"/>
    <w:uiPriority w:val="99"/>
    <w:semiHidden/>
    <w:unhideWhenUsed/>
    <w:tblPr/>
  </w:style>
  <w:style w:type="paragraph" w:styleId="85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НПП "Гарант-Сервис"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n.pochikaylova@tgk.gazprom.ru</cp:lastModifiedBy>
  <cp:revision>27</cp:revision>
  <dcterms:created xsi:type="dcterms:W3CDTF">2020-05-25T06:19:00Z</dcterms:created>
  <dcterms:modified xsi:type="dcterms:W3CDTF">2025-05-13T06:07:44Z</dcterms:modified>
  <cp:version>1048576</cp:version>
</cp:coreProperties>
</file>